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A" w:rsidRDefault="00AC202E" w:rsidP="00A76DEC">
      <w:pPr>
        <w:pStyle w:val="Heading-1"/>
      </w:pPr>
      <w:r>
        <w:t>Bacteraemia</w:t>
      </w:r>
    </w:p>
    <w:p w:rsidR="00BC400A" w:rsidRDefault="00BC400A" w:rsidP="00A76DEC"/>
    <w:p w:rsidR="00BC400A" w:rsidRDefault="0092117E" w:rsidP="00A76DEC">
      <w:r>
        <w:t>“Hi everyone</w:t>
      </w:r>
      <w:r w:rsidRPr="00A76DEC">
        <w:t xml:space="preserve">, welcome to the IDIOTS podcast, that’s Infectious Disease Insight Of Two Specialists, I’m </w:t>
      </w:r>
      <w:proofErr w:type="spellStart"/>
      <w:r w:rsidRPr="00A76DEC">
        <w:t>Jame</w:t>
      </w:r>
      <w:proofErr w:type="spellEnd"/>
      <w:r>
        <w:t>, that’s Callum, and we’re going to tell you everything you need to know about Infectious disease, Callum how you doing?”</w:t>
      </w:r>
    </w:p>
    <w:p w:rsidR="00BC400A" w:rsidRDefault="00BC400A" w:rsidP="00A76DEC"/>
    <w:p w:rsidR="00BC400A" w:rsidRPr="00D66AF8" w:rsidRDefault="00AC202E" w:rsidP="00A76DEC">
      <w:pPr>
        <w:pStyle w:val="ListParagraph"/>
        <w:numPr>
          <w:ilvl w:val="0"/>
          <w:numId w:val="2"/>
        </w:numPr>
      </w:pPr>
      <w:r w:rsidRPr="00A76DEC">
        <w:rPr>
          <w:rFonts w:eastAsia="Arial"/>
        </w:rPr>
        <w:t>Definition</w:t>
      </w:r>
      <w:r w:rsidR="00D66AF8" w:rsidRPr="00A76DEC">
        <w:rPr>
          <w:rFonts w:eastAsia="Arial"/>
        </w:rPr>
        <w:t xml:space="preserve"> of bacteraemia/septicaemia/blood stream infection</w:t>
      </w:r>
    </w:p>
    <w:p w:rsidR="00D66AF8" w:rsidRPr="00AC202E" w:rsidRDefault="00D66AF8" w:rsidP="00A76DEC">
      <w:pPr>
        <w:pStyle w:val="ListParagraph"/>
        <w:numPr>
          <w:ilvl w:val="0"/>
          <w:numId w:val="2"/>
        </w:numPr>
      </w:pPr>
      <w:r w:rsidRPr="00A76DEC">
        <w:rPr>
          <w:rFonts w:eastAsia="Arial"/>
        </w:rPr>
        <w:t>How does bacteraemia occur (immunology)</w:t>
      </w:r>
    </w:p>
    <w:p w:rsidR="00AC202E" w:rsidRPr="00AC202E" w:rsidRDefault="00AC202E" w:rsidP="00A76DEC">
      <w:pPr>
        <w:pStyle w:val="ListParagraph"/>
        <w:numPr>
          <w:ilvl w:val="0"/>
          <w:numId w:val="2"/>
        </w:numPr>
      </w:pPr>
      <w:r w:rsidRPr="00A76DEC">
        <w:rPr>
          <w:rFonts w:eastAsia="Arial"/>
        </w:rPr>
        <w:t>Diagnosis</w:t>
      </w:r>
    </w:p>
    <w:p w:rsidR="00D66AF8" w:rsidRPr="00D66AF8" w:rsidRDefault="00D66AF8" w:rsidP="00A76DEC">
      <w:pPr>
        <w:pStyle w:val="ListParagraph"/>
        <w:numPr>
          <w:ilvl w:val="1"/>
          <w:numId w:val="2"/>
        </w:numPr>
      </w:pPr>
      <w:r>
        <w:t>When to take blood cultures</w:t>
      </w:r>
    </w:p>
    <w:p w:rsidR="00AC202E" w:rsidRPr="00D66AF8" w:rsidRDefault="00AC202E" w:rsidP="00A76DEC">
      <w:pPr>
        <w:pStyle w:val="ListParagraph"/>
        <w:numPr>
          <w:ilvl w:val="1"/>
          <w:numId w:val="2"/>
        </w:numPr>
      </w:pPr>
      <w:r w:rsidRPr="00A76DEC">
        <w:rPr>
          <w:rFonts w:eastAsia="Arial"/>
        </w:rPr>
        <w:t>How to take blood cultures</w:t>
      </w:r>
    </w:p>
    <w:p w:rsidR="00AC202E" w:rsidRPr="00D66AF8" w:rsidRDefault="00AC202E" w:rsidP="00A76DEC">
      <w:pPr>
        <w:pStyle w:val="ListParagraph"/>
        <w:numPr>
          <w:ilvl w:val="1"/>
          <w:numId w:val="2"/>
        </w:numPr>
      </w:pPr>
      <w:r w:rsidRPr="00A76DEC">
        <w:rPr>
          <w:rFonts w:eastAsia="Arial"/>
        </w:rPr>
        <w:t>How many blood cultures to take</w:t>
      </w:r>
    </w:p>
    <w:p w:rsidR="00D66AF8" w:rsidRPr="00D66AF8" w:rsidRDefault="00D66AF8" w:rsidP="00A76DEC">
      <w:pPr>
        <w:pStyle w:val="ListParagraph"/>
        <w:numPr>
          <w:ilvl w:val="1"/>
          <w:numId w:val="2"/>
        </w:numPr>
      </w:pPr>
      <w:r w:rsidRPr="00A76DEC">
        <w:rPr>
          <w:rFonts w:eastAsia="Arial"/>
        </w:rPr>
        <w:t>What happens to blood cultures in the laboratory</w:t>
      </w:r>
    </w:p>
    <w:p w:rsidR="00D66AF8" w:rsidRPr="00D66AF8" w:rsidRDefault="00D66AF8" w:rsidP="00A76DEC">
      <w:pPr>
        <w:pStyle w:val="ListParagraph"/>
        <w:numPr>
          <w:ilvl w:val="0"/>
          <w:numId w:val="2"/>
        </w:numPr>
      </w:pPr>
      <w:r w:rsidRPr="00A76DEC">
        <w:rPr>
          <w:rFonts w:eastAsia="Arial"/>
        </w:rPr>
        <w:t>Management of bacteraemia</w:t>
      </w:r>
    </w:p>
    <w:p w:rsidR="00D66AF8" w:rsidRPr="00D66AF8" w:rsidRDefault="00D66AF8" w:rsidP="00A76DEC">
      <w:pPr>
        <w:pStyle w:val="ListParagraph"/>
        <w:numPr>
          <w:ilvl w:val="1"/>
          <w:numId w:val="2"/>
        </w:numPr>
      </w:pPr>
      <w:r w:rsidRPr="00A76DEC">
        <w:rPr>
          <w:rFonts w:eastAsia="Arial"/>
        </w:rPr>
        <w:t>PK/PD considerations</w:t>
      </w:r>
    </w:p>
    <w:p w:rsidR="00D66AF8" w:rsidRDefault="00D66AF8" w:rsidP="00A76DEC">
      <w:pPr>
        <w:rPr>
          <w:rFonts w:eastAsia="Arial"/>
        </w:rPr>
      </w:pPr>
    </w:p>
    <w:p w:rsidR="00D66AF8" w:rsidRDefault="00D66AF8" w:rsidP="00A76DEC">
      <w:pPr>
        <w:rPr>
          <w:rFonts w:eastAsia="Arial"/>
        </w:rPr>
      </w:pPr>
      <w:r>
        <w:rPr>
          <w:rFonts w:eastAsia="Arial"/>
        </w:rPr>
        <w:t>* I don’t think we should go into detail about specific pathogens or infection; or even management. Focus on the process of organisms entering the blood steam and the details around blood cultures</w:t>
      </w:r>
    </w:p>
    <w:p w:rsidR="00D66AF8" w:rsidRDefault="00D66AF8" w:rsidP="00A76DEC">
      <w:pPr>
        <w:rPr>
          <w:rFonts w:eastAsia="Arial"/>
        </w:rPr>
      </w:pPr>
    </w:p>
    <w:p w:rsidR="00D66AF8" w:rsidRDefault="00D66AF8" w:rsidP="00A76DEC">
      <w:pPr>
        <w:rPr>
          <w:rFonts w:eastAsia="Arial"/>
        </w:rPr>
      </w:pPr>
    </w:p>
    <w:p w:rsidR="00D66AF8" w:rsidRPr="00A76DEC" w:rsidRDefault="00D66AF8" w:rsidP="00A76DEC">
      <w:pPr>
        <w:pStyle w:val="Heading-2"/>
        <w:rPr>
          <w:rFonts w:eastAsiaTheme="minorEastAsia"/>
          <w:color w:val="auto"/>
        </w:rPr>
      </w:pPr>
      <w:r w:rsidRPr="00A76DEC">
        <w:t>Definition of bacteraemia/septicaemia/blood stream infection</w:t>
      </w:r>
    </w:p>
    <w:p w:rsidR="00D66AF8" w:rsidRDefault="00D66AF8" w:rsidP="00A76DEC">
      <w:pPr>
        <w:rPr>
          <w:rFonts w:eastAsia="Arial"/>
        </w:rPr>
      </w:pPr>
    </w:p>
    <w:p w:rsidR="00D66AF8" w:rsidRDefault="00D66AF8" w:rsidP="00A76DEC">
      <w:pPr>
        <w:rPr>
          <w:rFonts w:eastAsia="Arial"/>
        </w:rPr>
      </w:pPr>
      <w:r>
        <w:rPr>
          <w:rFonts w:eastAsia="Arial"/>
        </w:rPr>
        <w:t>Definitions</w:t>
      </w:r>
    </w:p>
    <w:p w:rsidR="00D66AF8" w:rsidRPr="00D66AF8" w:rsidRDefault="00D66AF8" w:rsidP="00A76DEC">
      <w:pPr>
        <w:pStyle w:val="ListParagraph"/>
        <w:numPr>
          <w:ilvl w:val="0"/>
          <w:numId w:val="3"/>
        </w:numPr>
      </w:pPr>
      <w:r>
        <w:t>Bacteraemia = “</w:t>
      </w:r>
      <w:r>
        <w:rPr>
          <w:shd w:val="clear" w:color="auto" w:fill="FFFFFF"/>
        </w:rPr>
        <w:t>the presence of bacteria in the blood”</w:t>
      </w:r>
    </w:p>
    <w:p w:rsidR="00D66AF8" w:rsidRDefault="00D66AF8" w:rsidP="00A76DEC">
      <w:pPr>
        <w:pStyle w:val="ListParagraph"/>
        <w:numPr>
          <w:ilvl w:val="0"/>
          <w:numId w:val="3"/>
        </w:numPr>
      </w:pPr>
      <w:r>
        <w:t>Septicaemia =  “a systemic disease caused by the spread of microorganisms and their toxins via the circulating blood”</w:t>
      </w:r>
    </w:p>
    <w:p w:rsidR="00D66AF8" w:rsidRDefault="00D66AF8" w:rsidP="00A76DEC">
      <w:pPr>
        <w:pStyle w:val="ListParagraph"/>
        <w:numPr>
          <w:ilvl w:val="0"/>
          <w:numId w:val="3"/>
        </w:numPr>
      </w:pPr>
      <w:r>
        <w:t>Sepsis = life threatening organ dysfunction causes by dysregulated host response to infection</w:t>
      </w:r>
    </w:p>
    <w:p w:rsidR="00D66AF8" w:rsidRPr="00D66AF8" w:rsidRDefault="00D66AF8" w:rsidP="00A76DEC">
      <w:pPr>
        <w:pStyle w:val="ListParagraph"/>
        <w:numPr>
          <w:ilvl w:val="0"/>
          <w:numId w:val="3"/>
        </w:numPr>
      </w:pPr>
      <w:r>
        <w:t xml:space="preserve">Blood stream infection – includes bacteraemia, also includes </w:t>
      </w:r>
      <w:proofErr w:type="spellStart"/>
      <w:r>
        <w:t>fungaemia</w:t>
      </w:r>
      <w:proofErr w:type="spellEnd"/>
      <w:r>
        <w:t>/</w:t>
      </w:r>
      <w:proofErr w:type="spellStart"/>
      <w:r>
        <w:t>viraemia</w:t>
      </w:r>
      <w:proofErr w:type="spellEnd"/>
      <w:r>
        <w:t>/</w:t>
      </w:r>
      <w:proofErr w:type="spellStart"/>
      <w:r>
        <w:t>parasitaemia</w:t>
      </w:r>
      <w:proofErr w:type="spellEnd"/>
      <w:r>
        <w:t>.</w:t>
      </w:r>
    </w:p>
    <w:p w:rsidR="00D66AF8" w:rsidRDefault="00D66AF8" w:rsidP="00A76DEC"/>
    <w:p w:rsidR="00D66AF8" w:rsidRDefault="00D66AF8" w:rsidP="00A76DEC">
      <w:r>
        <w:t>Sepsis is an old medical term which comes from the Greek '</w:t>
      </w:r>
      <w:proofErr w:type="spellStart"/>
      <w:r>
        <w:t>sepsin</w:t>
      </w:r>
      <w:proofErr w:type="spellEnd"/>
      <w:r>
        <w:t>' meaning 'to make putrid'</w:t>
      </w:r>
    </w:p>
    <w:p w:rsidR="00D66AF8" w:rsidRDefault="00D66AF8" w:rsidP="00A76DEC"/>
    <w:p w:rsidR="00D66AF8" w:rsidRPr="00D66AF8" w:rsidRDefault="00D66AF8" w:rsidP="00A76DEC">
      <w:r>
        <w:t xml:space="preserve">Therefore most correct to use bacteraemia +/- sepsis. BSI also </w:t>
      </w:r>
      <w:proofErr w:type="gramStart"/>
      <w:r>
        <w:t>correct</w:t>
      </w:r>
      <w:proofErr w:type="gramEnd"/>
      <w:r>
        <w:t>.</w:t>
      </w:r>
    </w:p>
    <w:p w:rsidR="00D66AF8" w:rsidRDefault="00D66AF8" w:rsidP="00A76DEC"/>
    <w:p w:rsidR="00BC400A" w:rsidRDefault="00BC400A" w:rsidP="00A76DEC"/>
    <w:p w:rsidR="00A76DEC" w:rsidRDefault="00A76DEC" w:rsidP="00A76DEC">
      <w:pPr>
        <w:rPr>
          <w:rFonts w:eastAsia="Arial"/>
          <w:b/>
          <w:u w:val="single"/>
        </w:rPr>
      </w:pPr>
      <w:r w:rsidRPr="00A76DEC">
        <w:rPr>
          <w:rFonts w:eastAsia="Arial"/>
          <w:b/>
          <w:u w:val="single"/>
        </w:rPr>
        <w:t>How does bacteraemia occur (</w:t>
      </w:r>
      <w:proofErr w:type="gramStart"/>
      <w:r w:rsidRPr="00A76DEC">
        <w:rPr>
          <w:rFonts w:eastAsia="Arial"/>
          <w:b/>
          <w:u w:val="single"/>
        </w:rPr>
        <w:t>immunology</w:t>
      </w:r>
      <w:proofErr w:type="gramEnd"/>
      <w:r w:rsidRPr="00A76DEC">
        <w:rPr>
          <w:rFonts w:eastAsia="Arial"/>
          <w:b/>
          <w:u w:val="single"/>
        </w:rPr>
        <w:t>)</w:t>
      </w:r>
    </w:p>
    <w:p w:rsidR="00A76DEC" w:rsidRDefault="00A76DEC" w:rsidP="00A76DEC">
      <w:pPr>
        <w:rPr>
          <w:rFonts w:eastAsia="Arial"/>
          <w:b/>
          <w:u w:val="single"/>
        </w:rPr>
      </w:pPr>
    </w:p>
    <w:p w:rsidR="00A76DEC" w:rsidRDefault="00A76DEC" w:rsidP="00A76DEC">
      <w:r>
        <w:t xml:space="preserve">Initial entry to host: Body surface e.g. skin, mucous membranes, lung, </w:t>
      </w:r>
      <w:proofErr w:type="gramStart"/>
      <w:r>
        <w:t>gut</w:t>
      </w:r>
      <w:proofErr w:type="gramEnd"/>
      <w:r>
        <w:t>. Or any defect in these such as trauma, viscous perforation.</w:t>
      </w:r>
    </w:p>
    <w:p w:rsidR="00A76DEC" w:rsidRDefault="00A76DEC" w:rsidP="00A76DEC">
      <w:pPr>
        <w:pStyle w:val="ListParagraph"/>
        <w:numPr>
          <w:ilvl w:val="0"/>
          <w:numId w:val="4"/>
        </w:numPr>
      </w:pPr>
      <w:r>
        <w:t>Traverse epithelium and surface membrane</w:t>
      </w:r>
    </w:p>
    <w:p w:rsidR="00A76DEC" w:rsidRDefault="00A76DEC" w:rsidP="00A76DEC">
      <w:pPr>
        <w:pStyle w:val="ListParagraph"/>
        <w:numPr>
          <w:ilvl w:val="0"/>
          <w:numId w:val="4"/>
        </w:numPr>
      </w:pPr>
      <w:r>
        <w:t>Enter tissue</w:t>
      </w:r>
    </w:p>
    <w:p w:rsidR="00A76DEC" w:rsidRDefault="00A76DEC" w:rsidP="00A76DEC">
      <w:pPr>
        <w:pStyle w:val="ListParagraph"/>
        <w:numPr>
          <w:ilvl w:val="1"/>
          <w:numId w:val="4"/>
        </w:numPr>
      </w:pPr>
      <w:r>
        <w:t>Antimicrobial substances e.g. antibodies, complement</w:t>
      </w:r>
    </w:p>
    <w:p w:rsidR="00A76DEC" w:rsidRDefault="00A76DEC" w:rsidP="00A76DEC">
      <w:pPr>
        <w:pStyle w:val="ListParagraph"/>
        <w:numPr>
          <w:ilvl w:val="1"/>
          <w:numId w:val="4"/>
        </w:numPr>
      </w:pPr>
      <w:r>
        <w:t>Local macrophages (</w:t>
      </w:r>
      <w:proofErr w:type="spellStart"/>
      <w:r>
        <w:t>histiocytes</w:t>
      </w:r>
      <w:proofErr w:type="spellEnd"/>
      <w:r>
        <w:t>)</w:t>
      </w:r>
    </w:p>
    <w:p w:rsidR="00A76DEC" w:rsidRDefault="00A76DEC" w:rsidP="00A76DEC">
      <w:pPr>
        <w:pStyle w:val="ListParagraph"/>
        <w:numPr>
          <w:ilvl w:val="1"/>
          <w:numId w:val="4"/>
        </w:numPr>
      </w:pPr>
      <w:r>
        <w:lastRenderedPageBreak/>
        <w:t xml:space="preserve">Physical tissue </w:t>
      </w:r>
      <w:proofErr w:type="gramStart"/>
      <w:r>
        <w:t>barriers,</w:t>
      </w:r>
      <w:proofErr w:type="gramEnd"/>
      <w:r>
        <w:t xml:space="preserve"> e.g. hydrated gel matrix. Virulence factors aid in entry</w:t>
      </w:r>
    </w:p>
    <w:p w:rsidR="00A76DEC" w:rsidRDefault="00A76DEC" w:rsidP="00A76DEC">
      <w:pPr>
        <w:pStyle w:val="ListParagraph"/>
        <w:numPr>
          <w:ilvl w:val="0"/>
          <w:numId w:val="4"/>
        </w:numPr>
      </w:pPr>
      <w:r>
        <w:t>Lymphatic system</w:t>
      </w:r>
    </w:p>
    <w:p w:rsidR="00A76DEC" w:rsidRDefault="00A76DEC" w:rsidP="00A76DEC">
      <w:pPr>
        <w:pStyle w:val="ListParagraph"/>
        <w:numPr>
          <w:ilvl w:val="1"/>
          <w:numId w:val="4"/>
        </w:numPr>
      </w:pPr>
      <w:r>
        <w:t>Conveys microorganisms to lymph nodes with large numbers of phagocytic and immunologic defences</w:t>
      </w:r>
    </w:p>
    <w:p w:rsidR="00A76DEC" w:rsidRDefault="00A76DEC" w:rsidP="00A76DEC">
      <w:pPr>
        <w:pStyle w:val="ListParagraph"/>
        <w:numPr>
          <w:ilvl w:val="0"/>
          <w:numId w:val="4"/>
        </w:numPr>
      </w:pPr>
      <w:r>
        <w:t>Invade blood</w:t>
      </w:r>
    </w:p>
    <w:p w:rsidR="00A76DEC" w:rsidRDefault="00A76DEC" w:rsidP="00A76DEC">
      <w:pPr>
        <w:pStyle w:val="ListParagraph"/>
        <w:numPr>
          <w:ilvl w:val="1"/>
          <w:numId w:val="4"/>
        </w:numPr>
      </w:pPr>
      <w:r>
        <w:t xml:space="preserve">The route to achieving this varies. Some invasive organisms due so in an antagonistic approach; disabling/destroying immune response. Others in an </w:t>
      </w:r>
      <w:r w:rsidR="00E90EFC">
        <w:t xml:space="preserve">immune evasion approach; usually surviving intracellular </w:t>
      </w:r>
    </w:p>
    <w:p w:rsidR="00E90EFC" w:rsidRDefault="00ED0F72" w:rsidP="00E90EFC">
      <w:pPr>
        <w:pStyle w:val="ListParagraph"/>
        <w:numPr>
          <w:ilvl w:val="2"/>
          <w:numId w:val="4"/>
        </w:numPr>
      </w:pPr>
      <w:r>
        <w:t>Examples intracellular pathoge</w:t>
      </w:r>
      <w:r w:rsidR="00E90EFC">
        <w:t>ns Listeria Brucella; also EBV or Rubella. Malaria</w:t>
      </w:r>
    </w:p>
    <w:p w:rsidR="00E90EFC" w:rsidRDefault="00E90EFC" w:rsidP="00A76DEC">
      <w:pPr>
        <w:pStyle w:val="ListParagraph"/>
        <w:numPr>
          <w:ilvl w:val="1"/>
          <w:numId w:val="4"/>
        </w:numPr>
      </w:pPr>
      <w:r>
        <w:t>Transient bacteraemia common e.g. when tooth brushing or defecating; but usually filtered out of blood especially in spleen/liver by macrophages</w:t>
      </w:r>
    </w:p>
    <w:p w:rsidR="00E90EFC" w:rsidRDefault="00E90EFC" w:rsidP="00E90EFC">
      <w:pPr>
        <w:pStyle w:val="ListParagraph"/>
        <w:numPr>
          <w:ilvl w:val="2"/>
          <w:numId w:val="4"/>
        </w:numPr>
      </w:pPr>
      <w:r>
        <w:t xml:space="preserve">Certain organisms adapted to multiple in these cells within the “reticuloendothelial system” e.g. Salmonella </w:t>
      </w:r>
      <w:proofErr w:type="spellStart"/>
      <w:r>
        <w:t>typhi</w:t>
      </w:r>
      <w:proofErr w:type="spellEnd"/>
      <w:r>
        <w:t xml:space="preserve">, leishmanial </w:t>
      </w:r>
      <w:proofErr w:type="spellStart"/>
      <w:r>
        <w:t>donovani</w:t>
      </w:r>
      <w:proofErr w:type="spellEnd"/>
      <w:r>
        <w:t>, Yellow fever</w:t>
      </w:r>
    </w:p>
    <w:p w:rsidR="00E90EFC" w:rsidRDefault="00E90EFC" w:rsidP="00E90EFC">
      <w:pPr>
        <w:pStyle w:val="ListParagraph"/>
        <w:numPr>
          <w:ilvl w:val="0"/>
          <w:numId w:val="4"/>
        </w:numPr>
      </w:pPr>
      <w:r>
        <w:t>Travel to other organs</w:t>
      </w:r>
    </w:p>
    <w:p w:rsidR="00E90EFC" w:rsidRDefault="00E90EFC" w:rsidP="00E90EFC">
      <w:pPr>
        <w:pStyle w:val="ListParagraph"/>
        <w:numPr>
          <w:ilvl w:val="1"/>
          <w:numId w:val="4"/>
        </w:numPr>
      </w:pPr>
      <w:r>
        <w:t>Organism specific; unclear why</w:t>
      </w:r>
    </w:p>
    <w:p w:rsidR="00E90EFC" w:rsidRDefault="00E90EFC" w:rsidP="00E90EFC">
      <w:pPr>
        <w:pStyle w:val="ListParagraph"/>
        <w:numPr>
          <w:ilvl w:val="0"/>
          <w:numId w:val="4"/>
        </w:numPr>
      </w:pPr>
      <w:r>
        <w:t>Leave the body</w:t>
      </w:r>
    </w:p>
    <w:p w:rsidR="00A76DEC" w:rsidRPr="00A76DEC" w:rsidRDefault="00C57900" w:rsidP="00A76DEC">
      <w:r>
        <w:rPr>
          <w:noProof/>
        </w:rPr>
        <w:drawing>
          <wp:anchor distT="0" distB="0" distL="114300" distR="114300" simplePos="0" relativeHeight="251659264" behindDoc="0" locked="0" layoutInCell="1" allowOverlap="1" wp14:anchorId="5B2A0FCD" wp14:editId="77AD1B7D">
            <wp:simplePos x="0" y="0"/>
            <wp:positionH relativeFrom="column">
              <wp:posOffset>2742764</wp:posOffset>
            </wp:positionH>
            <wp:positionV relativeFrom="paragraph">
              <wp:posOffset>223075</wp:posOffset>
            </wp:positionV>
            <wp:extent cx="3555242" cy="153882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10705_20525489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2" b="20511"/>
                    <a:stretch/>
                  </pic:blipFill>
                  <pic:spPr bwMode="auto">
                    <a:xfrm>
                      <a:off x="0" y="0"/>
                      <a:ext cx="3555242" cy="1538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19551" wp14:editId="641A2C80">
            <wp:simplePos x="0" y="0"/>
            <wp:positionH relativeFrom="column">
              <wp:posOffset>-212090</wp:posOffset>
            </wp:positionH>
            <wp:positionV relativeFrom="paragraph">
              <wp:posOffset>219710</wp:posOffset>
            </wp:positionV>
            <wp:extent cx="2858770" cy="4756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L_20210705_2105380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2" r="18435" b="19946"/>
                    <a:stretch/>
                  </pic:blipFill>
                  <pic:spPr bwMode="auto">
                    <a:xfrm>
                      <a:off x="0" y="0"/>
                      <a:ext cx="2858770" cy="475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EC" w:rsidRDefault="00A76DEC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>
      <w:pPr>
        <w:rPr>
          <w:noProof/>
        </w:rPr>
      </w:pPr>
    </w:p>
    <w:p w:rsidR="00C57900" w:rsidRDefault="00C57900" w:rsidP="00A76DEC"/>
    <w:p w:rsidR="00E90EFC" w:rsidRDefault="00E90EFC" w:rsidP="00A76DEC"/>
    <w:p w:rsidR="00E90EFC" w:rsidRPr="00AC202E" w:rsidRDefault="00E90EFC" w:rsidP="00E90EFC">
      <w:pPr>
        <w:pStyle w:val="Heading-2"/>
        <w:rPr>
          <w:rFonts w:eastAsiaTheme="minorEastAsia"/>
        </w:rPr>
      </w:pPr>
      <w:r w:rsidRPr="00A76DEC">
        <w:lastRenderedPageBreak/>
        <w:t>Diagnosis</w:t>
      </w:r>
    </w:p>
    <w:p w:rsidR="00E90EFC" w:rsidRDefault="00E90EFC" w:rsidP="00E90EFC"/>
    <w:p w:rsidR="00E90EFC" w:rsidRDefault="00E90EFC" w:rsidP="00E90EFC">
      <w:pPr>
        <w:rPr>
          <w:b/>
        </w:rPr>
      </w:pPr>
      <w:r w:rsidRPr="00E90EFC">
        <w:rPr>
          <w:b/>
        </w:rPr>
        <w:t>When to take blood cultures</w:t>
      </w:r>
    </w:p>
    <w:p w:rsidR="00E90EFC" w:rsidRDefault="00C57900" w:rsidP="00E90EFC">
      <w:r>
        <w:t xml:space="preserve">Anyone who might be </w:t>
      </w:r>
      <w:proofErr w:type="spellStart"/>
      <w:r>
        <w:t>bacteraemic</w:t>
      </w:r>
      <w:proofErr w:type="spellEnd"/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Not just those who are pyrexia.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Anyone starting broad spectrum IV antimicrobials in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Febrile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Lines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Especially immunocompromised (may not mount a fever)</w:t>
      </w:r>
    </w:p>
    <w:p w:rsidR="00C57900" w:rsidRPr="00C57900" w:rsidRDefault="00C57900" w:rsidP="00C57900">
      <w:pPr>
        <w:pStyle w:val="ListParagraph"/>
        <w:numPr>
          <w:ilvl w:val="0"/>
          <w:numId w:val="3"/>
        </w:numPr>
      </w:pPr>
      <w:r>
        <w:t>Specific other indications; e.g. typhoid</w:t>
      </w:r>
    </w:p>
    <w:p w:rsidR="00E90EFC" w:rsidRDefault="00E90EFC" w:rsidP="00E90EFC">
      <w:pPr>
        <w:rPr>
          <w:rFonts w:eastAsia="Arial"/>
        </w:rPr>
      </w:pPr>
    </w:p>
    <w:p w:rsidR="00C57900" w:rsidRPr="00E90EFC" w:rsidRDefault="00E90EFC" w:rsidP="00C57900">
      <w:pPr>
        <w:rPr>
          <w:b/>
        </w:rPr>
      </w:pPr>
      <w:r w:rsidRPr="00E90EFC">
        <w:rPr>
          <w:rFonts w:eastAsia="Arial"/>
          <w:b/>
        </w:rPr>
        <w:t>How to take blood cultures</w:t>
      </w:r>
      <w:r w:rsidR="00C57900">
        <w:rPr>
          <w:rFonts w:eastAsia="Arial"/>
          <w:b/>
        </w:rPr>
        <w:t>/</w:t>
      </w:r>
      <w:r w:rsidR="00C57900" w:rsidRPr="00E90EFC">
        <w:rPr>
          <w:rFonts w:eastAsia="Arial"/>
          <w:b/>
        </w:rPr>
        <w:t>How many blood cultures to take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ASNTT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10ml per bottle/20 ml total. Volume taken important for sensitivity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3 sets&gt;2&gt;1. More sets more sensitive but 3 around ideal cut off vs practically.</w:t>
      </w:r>
      <w:r>
        <w:tab/>
        <w:t>Different sites</w:t>
      </w:r>
    </w:p>
    <w:p w:rsidR="00C57900" w:rsidRDefault="00C57900" w:rsidP="00C57900">
      <w:pPr>
        <w:pStyle w:val="ListParagraph"/>
        <w:numPr>
          <w:ilvl w:val="0"/>
          <w:numId w:val="3"/>
        </w:numPr>
      </w:pPr>
      <w:r>
        <w:t>Timing in relation to fever not important; I.e. don’t wait for the fever; as bacteraemia probably at peak 30 minutes prior</w:t>
      </w:r>
    </w:p>
    <w:p w:rsidR="00C57900" w:rsidRPr="00C57900" w:rsidRDefault="00C57900" w:rsidP="00C57900">
      <w:pPr>
        <w:pStyle w:val="ListParagraph"/>
        <w:numPr>
          <w:ilvl w:val="0"/>
          <w:numId w:val="3"/>
        </w:numPr>
      </w:pPr>
      <w:r>
        <w:t>Limited utility to repeated culturing if on broad spectrum antimicrobials with ongoing fevers having had sets pre-blood cultures; unless acutely deteriorating</w:t>
      </w:r>
    </w:p>
    <w:p w:rsidR="00E90EFC" w:rsidRPr="00E90EFC" w:rsidRDefault="00E90EFC" w:rsidP="00E90EFC">
      <w:pPr>
        <w:rPr>
          <w:rFonts w:eastAsia="Arial"/>
          <w:b/>
        </w:rPr>
      </w:pPr>
    </w:p>
    <w:p w:rsidR="00E90EFC" w:rsidRDefault="00E90EFC" w:rsidP="00E90EFC">
      <w:pPr>
        <w:rPr>
          <w:rFonts w:eastAsia="Arial"/>
        </w:rPr>
      </w:pPr>
    </w:p>
    <w:p w:rsidR="00E90EFC" w:rsidRPr="00E90EFC" w:rsidRDefault="00E90EFC" w:rsidP="00E90EFC">
      <w:pPr>
        <w:rPr>
          <w:b/>
        </w:rPr>
      </w:pPr>
      <w:r w:rsidRPr="00E90EFC">
        <w:rPr>
          <w:rFonts w:eastAsia="Arial"/>
          <w:b/>
        </w:rPr>
        <w:t xml:space="preserve">What happens to blood cultures in the </w:t>
      </w:r>
      <w:proofErr w:type="gramStart"/>
      <w:r w:rsidRPr="00E90EFC">
        <w:rPr>
          <w:rFonts w:eastAsia="Arial"/>
          <w:b/>
        </w:rPr>
        <w:t>laboratory</w:t>
      </w:r>
      <w:proofErr w:type="gramEnd"/>
    </w:p>
    <w:p w:rsidR="00E90EFC" w:rsidRDefault="00E90EFC" w:rsidP="00A76DEC"/>
    <w:p w:rsidR="003E0C14" w:rsidRDefault="003E0C14" w:rsidP="00A76DEC"/>
    <w:p w:rsidR="003E0C14" w:rsidRPr="00D66AF8" w:rsidRDefault="003E0C14" w:rsidP="003E0C14">
      <w:pPr>
        <w:pStyle w:val="Heading-2"/>
        <w:rPr>
          <w:rFonts w:eastAsiaTheme="minorEastAsia"/>
        </w:rPr>
      </w:pPr>
      <w:r w:rsidRPr="00A76DEC">
        <w:t>Management of bacteraemia</w:t>
      </w:r>
    </w:p>
    <w:p w:rsidR="003E0C14" w:rsidRDefault="003E0C14" w:rsidP="003E0C14">
      <w:pPr>
        <w:rPr>
          <w:rFonts w:eastAsia="Arial"/>
        </w:rPr>
      </w:pPr>
    </w:p>
    <w:p w:rsidR="003E0C14" w:rsidRDefault="003E0C14" w:rsidP="003E0C14">
      <w:pPr>
        <w:rPr>
          <w:rStyle w:val="Strong"/>
          <w:b w:val="0"/>
        </w:rPr>
      </w:pPr>
      <w:proofErr w:type="gramStart"/>
      <w:r w:rsidRPr="00311C99">
        <w:rPr>
          <w:rStyle w:val="Strong"/>
          <w:b w:val="0"/>
        </w:rPr>
        <w:t>PK/PD considerations</w:t>
      </w:r>
      <w:r w:rsidR="00300D41" w:rsidRPr="00311C99">
        <w:rPr>
          <w:rStyle w:val="Strong"/>
          <w:b w:val="0"/>
        </w:rPr>
        <w:t xml:space="preserve"> </w:t>
      </w:r>
      <w:r w:rsidR="00311C99" w:rsidRPr="00311C99">
        <w:rPr>
          <w:rStyle w:val="Strong"/>
          <w:b w:val="0"/>
        </w:rPr>
        <w:t>–</w:t>
      </w:r>
      <w:r w:rsidR="00300D41" w:rsidRPr="00311C99">
        <w:rPr>
          <w:rStyle w:val="Strong"/>
          <w:b w:val="0"/>
        </w:rPr>
        <w:t xml:space="preserve"> </w:t>
      </w:r>
      <w:r w:rsidR="00311C99" w:rsidRPr="00311C99">
        <w:rPr>
          <w:rStyle w:val="Strong"/>
          <w:b w:val="0"/>
        </w:rPr>
        <w:t>antimicrobials that are present in blood.</w:t>
      </w:r>
      <w:proofErr w:type="gramEnd"/>
      <w:r w:rsidR="00311C99" w:rsidRPr="00311C99">
        <w:rPr>
          <w:rStyle w:val="Strong"/>
          <w:b w:val="0"/>
        </w:rPr>
        <w:t xml:space="preserve"> High protein binding, low </w:t>
      </w:r>
      <w:proofErr w:type="spellStart"/>
      <w:proofErr w:type="gramStart"/>
      <w:r w:rsidR="00311C99" w:rsidRPr="00311C99">
        <w:rPr>
          <w:rStyle w:val="Strong"/>
          <w:b w:val="0"/>
        </w:rPr>
        <w:t>Vd</w:t>
      </w:r>
      <w:proofErr w:type="spellEnd"/>
      <w:proofErr w:type="gramEnd"/>
      <w:r w:rsidR="00311C99" w:rsidRPr="00311C99">
        <w:rPr>
          <w:rStyle w:val="Strong"/>
          <w:b w:val="0"/>
        </w:rPr>
        <w:t>?</w:t>
      </w:r>
    </w:p>
    <w:p w:rsidR="00311C99" w:rsidRDefault="00311C99" w:rsidP="003E0C14">
      <w:pPr>
        <w:rPr>
          <w:rStyle w:val="Strong"/>
          <w:b w:val="0"/>
        </w:rPr>
      </w:pPr>
      <w:bookmarkStart w:id="0" w:name="_GoBack"/>
      <w:bookmarkEnd w:id="0"/>
    </w:p>
    <w:p w:rsidR="00311C99" w:rsidRPr="00311C99" w:rsidRDefault="00311C99" w:rsidP="003E0C14">
      <w:pPr>
        <w:rPr>
          <w:rStyle w:val="Strong"/>
          <w:b w:val="0"/>
        </w:rPr>
      </w:pPr>
      <w:r>
        <w:rPr>
          <w:rStyle w:val="Strong"/>
          <w:b w:val="0"/>
        </w:rPr>
        <w:t xml:space="preserve">IV. </w:t>
      </w:r>
      <w:proofErr w:type="gramStart"/>
      <w:r>
        <w:rPr>
          <w:rStyle w:val="Strong"/>
          <w:b w:val="0"/>
        </w:rPr>
        <w:t>high</w:t>
      </w:r>
      <w:proofErr w:type="gramEnd"/>
      <w:r>
        <w:rPr>
          <w:rStyle w:val="Strong"/>
          <w:b w:val="0"/>
        </w:rPr>
        <w:t xml:space="preserve"> dose.</w:t>
      </w:r>
    </w:p>
    <w:p w:rsidR="003E0C14" w:rsidRDefault="003E0C14" w:rsidP="00A76DEC"/>
    <w:sectPr w:rsidR="003E0C14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D2B"/>
    <w:multiLevelType w:val="multilevel"/>
    <w:tmpl w:val="935ED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9F5A98"/>
    <w:multiLevelType w:val="hybridMultilevel"/>
    <w:tmpl w:val="66C6157C"/>
    <w:lvl w:ilvl="0" w:tplc="541406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EAA"/>
    <w:multiLevelType w:val="multilevel"/>
    <w:tmpl w:val="14707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324D05"/>
    <w:multiLevelType w:val="hybridMultilevel"/>
    <w:tmpl w:val="C3E0D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400A"/>
    <w:rsid w:val="000B6F8B"/>
    <w:rsid w:val="00300D41"/>
    <w:rsid w:val="00311C99"/>
    <w:rsid w:val="003E0C14"/>
    <w:rsid w:val="009161F5"/>
    <w:rsid w:val="0092117E"/>
    <w:rsid w:val="00982515"/>
    <w:rsid w:val="00A76DEC"/>
    <w:rsid w:val="00AC202E"/>
    <w:rsid w:val="00BC400A"/>
    <w:rsid w:val="00C57900"/>
    <w:rsid w:val="00D66AF8"/>
    <w:rsid w:val="00E90EFC"/>
    <w:rsid w:val="00E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C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-2">
    <w:name w:val="Heading-2"/>
    <w:basedOn w:val="Normal"/>
    <w:link w:val="Heading-2Char"/>
    <w:qFormat/>
    <w:rsid w:val="00A76DEC"/>
    <w:pPr>
      <w:pBdr>
        <w:top w:val="nil"/>
        <w:left w:val="nil"/>
        <w:bottom w:val="nil"/>
        <w:right w:val="nil"/>
        <w:between w:val="nil"/>
      </w:pBdr>
    </w:pPr>
    <w:rPr>
      <w:rFonts w:eastAsia="Arial"/>
      <w:b/>
      <w:color w:val="000000"/>
      <w:u w:val="single"/>
    </w:rPr>
  </w:style>
  <w:style w:type="paragraph" w:customStyle="1" w:styleId="Heading-1">
    <w:name w:val="Heading-1"/>
    <w:basedOn w:val="Title"/>
    <w:link w:val="Heading-1Char"/>
    <w:qFormat/>
    <w:rsid w:val="00A76DEC"/>
  </w:style>
  <w:style w:type="character" w:customStyle="1" w:styleId="Heading-2Char">
    <w:name w:val="Heading-2 Char"/>
    <w:basedOn w:val="DefaultParagraphFont"/>
    <w:link w:val="Heading-2"/>
    <w:rsid w:val="00A76DEC"/>
    <w:rPr>
      <w:b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3E0C14"/>
    <w:rPr>
      <w:b/>
      <w:bCs/>
    </w:rPr>
  </w:style>
  <w:style w:type="character" w:customStyle="1" w:styleId="TitleChar">
    <w:name w:val="Title Char"/>
    <w:basedOn w:val="DefaultParagraphFont"/>
    <w:link w:val="Title"/>
    <w:rsid w:val="00A76DEC"/>
    <w:rPr>
      <w:rFonts w:eastAsiaTheme="minorEastAsia"/>
      <w:b/>
      <w:sz w:val="72"/>
      <w:szCs w:val="72"/>
    </w:rPr>
  </w:style>
  <w:style w:type="character" w:customStyle="1" w:styleId="Heading-1Char">
    <w:name w:val="Heading-1 Char"/>
    <w:basedOn w:val="TitleChar"/>
    <w:link w:val="Heading-1"/>
    <w:rsid w:val="00A76DEC"/>
    <w:rPr>
      <w:rFonts w:eastAsiaTheme="minorEastAsia"/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C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-2">
    <w:name w:val="Heading-2"/>
    <w:basedOn w:val="Normal"/>
    <w:link w:val="Heading-2Char"/>
    <w:qFormat/>
    <w:rsid w:val="00A76DEC"/>
    <w:pPr>
      <w:pBdr>
        <w:top w:val="nil"/>
        <w:left w:val="nil"/>
        <w:bottom w:val="nil"/>
        <w:right w:val="nil"/>
        <w:between w:val="nil"/>
      </w:pBdr>
    </w:pPr>
    <w:rPr>
      <w:rFonts w:eastAsia="Arial"/>
      <w:b/>
      <w:color w:val="000000"/>
      <w:u w:val="single"/>
    </w:rPr>
  </w:style>
  <w:style w:type="paragraph" w:customStyle="1" w:styleId="Heading-1">
    <w:name w:val="Heading-1"/>
    <w:basedOn w:val="Title"/>
    <w:link w:val="Heading-1Char"/>
    <w:qFormat/>
    <w:rsid w:val="00A76DEC"/>
  </w:style>
  <w:style w:type="character" w:customStyle="1" w:styleId="Heading-2Char">
    <w:name w:val="Heading-2 Char"/>
    <w:basedOn w:val="DefaultParagraphFont"/>
    <w:link w:val="Heading-2"/>
    <w:rsid w:val="00A76DEC"/>
    <w:rPr>
      <w:b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3E0C14"/>
    <w:rPr>
      <w:b/>
      <w:bCs/>
    </w:rPr>
  </w:style>
  <w:style w:type="character" w:customStyle="1" w:styleId="TitleChar">
    <w:name w:val="Title Char"/>
    <w:basedOn w:val="DefaultParagraphFont"/>
    <w:link w:val="Title"/>
    <w:rsid w:val="00A76DEC"/>
    <w:rPr>
      <w:rFonts w:eastAsiaTheme="minorEastAsia"/>
      <w:b/>
      <w:sz w:val="72"/>
      <w:szCs w:val="72"/>
    </w:rPr>
  </w:style>
  <w:style w:type="character" w:customStyle="1" w:styleId="Heading-1Char">
    <w:name w:val="Heading-1 Char"/>
    <w:basedOn w:val="TitleChar"/>
    <w:link w:val="Heading-1"/>
    <w:rsid w:val="00A76DEC"/>
    <w:rPr>
      <w:rFonts w:eastAsiaTheme="minorEastAsia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By1/MI6Wr9v04x5/sIJg5czkg==">AMUW2mUuim+vYTleCk/e+bvePedhROy6BPjkqQWH6OrE4Euj+x/Qyp8GcL6djhoEmVCtZbwtvmWEuFzI1MGKr7qv1FFR9Opw0CoLN5AL5eqwq7jX/7KCkLD3ghuYxhnPGZIS/BzB9wIhE1GAC5SFLeJVXu7ap3CKmCcMrRI4LX0PQ/CNSFZZLxq7yRImCMkGf13eebwdBRfTr1mbrWThnA3ba3JpoBNTHg==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MCCRAE Jame</dc:creator>
  <cp:lastModifiedBy>Callum Mutch</cp:lastModifiedBy>
  <cp:revision>6</cp:revision>
  <dcterms:created xsi:type="dcterms:W3CDTF">2021-04-28T19:49:00Z</dcterms:created>
  <dcterms:modified xsi:type="dcterms:W3CDTF">2021-07-07T22:56:00Z</dcterms:modified>
</cp:coreProperties>
</file>