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A38" w:rsidRPr="007C7BAA" w:rsidRDefault="009B5A38" w:rsidP="009B5A38">
      <w:pPr>
        <w:pStyle w:val="Heading1"/>
        <w:pageBreakBefore/>
        <w:ind w:left="709" w:hanging="709"/>
      </w:pPr>
      <w:bookmarkStart w:id="0" w:name="_GoBack"/>
      <w:bookmarkEnd w:id="0"/>
      <w:r w:rsidRPr="007C7BAA">
        <w:tab/>
        <w:t>Foreword</w:t>
      </w:r>
    </w:p>
    <w:p w:rsidR="009B5A38" w:rsidRDefault="00B561C9" w:rsidP="00B561C9">
      <w:r>
        <w:t>This guidance was commissioned jointly by the British Infection Society and the Royal College of Pathologists.</w:t>
      </w:r>
    </w:p>
    <w:p w:rsidR="00B561C9" w:rsidRDefault="00B561C9" w:rsidP="00B561C9">
      <w:r>
        <w:t xml:space="preserve">It is intended to provide guidance to NHS and independent providers of health services in the United Kingdom on the </w:t>
      </w:r>
      <w:r w:rsidR="00C45073">
        <w:t xml:space="preserve">suitable workforce required to provide a safe yet comprehensive </w:t>
      </w:r>
      <w:r>
        <w:t xml:space="preserve">service </w:t>
      </w:r>
      <w:r w:rsidR="00627CC8">
        <w:t xml:space="preserve">from </w:t>
      </w:r>
      <w:r>
        <w:t xml:space="preserve">consultants in infection to prevent, diagnose, treat and monitor infection in </w:t>
      </w:r>
      <w:r w:rsidR="00C45073">
        <w:t xml:space="preserve">various </w:t>
      </w:r>
      <w:r>
        <w:t>primary, secondary and tertiary care</w:t>
      </w:r>
      <w:r w:rsidR="00C45073">
        <w:t xml:space="preserve"> settings</w:t>
      </w:r>
      <w:r>
        <w:t>.</w:t>
      </w:r>
    </w:p>
    <w:p w:rsidR="00B561C9" w:rsidRDefault="00B561C9" w:rsidP="00B561C9">
      <w:r>
        <w:t>For the purpose of this document, consultant</w:t>
      </w:r>
      <w:r w:rsidR="00C45073">
        <w:t>s in infection may be medically or scientifically qualified and will have expertise in one or more of infectious diseases, microbiology and virology. [However, the ongoing care of in-patients with infection under the sole care of infectious diseases consultants is outwith the scope of this document (we may reconsider this.]</w:t>
      </w:r>
    </w:p>
    <w:p w:rsidR="009B5A38" w:rsidRPr="004A6975" w:rsidRDefault="002452C6" w:rsidP="009B5A38">
      <w:pPr>
        <w:autoSpaceDE w:val="0"/>
        <w:autoSpaceDN w:val="0"/>
        <w:adjustRightInd w:val="0"/>
        <w:ind w:left="720"/>
        <w:rPr>
          <w:rFonts w:cs="Arial"/>
        </w:rPr>
      </w:pPr>
      <w:r>
        <w:rPr>
          <w:rFonts w:cs="Arial"/>
        </w:rPr>
        <w:t xml:space="preserve">This guidance was developed by a working group made up of Fellows of the College and members of the Association and </w:t>
      </w:r>
      <w:r w:rsidR="00627CC8">
        <w:rPr>
          <w:rFonts w:cs="Arial"/>
        </w:rPr>
        <w:t xml:space="preserve">the process followed </w:t>
      </w:r>
      <w:r>
        <w:rPr>
          <w:rFonts w:cs="Arial"/>
        </w:rPr>
        <w:t xml:space="preserve">is described in </w:t>
      </w:r>
      <w:r>
        <w:rPr>
          <w:rFonts w:cs="Arial"/>
        </w:rPr>
        <w:fldChar w:fldCharType="begin"/>
      </w:r>
      <w:r>
        <w:rPr>
          <w:rFonts w:cs="Arial"/>
        </w:rPr>
        <w:instrText xml:space="preserve"> REF _Ref486101145 \h </w:instrText>
      </w:r>
      <w:r>
        <w:rPr>
          <w:rFonts w:cs="Arial"/>
        </w:rPr>
      </w:r>
      <w:r>
        <w:rPr>
          <w:rFonts w:cs="Arial"/>
        </w:rPr>
        <w:fldChar w:fldCharType="separate"/>
      </w:r>
      <w:r w:rsidR="004E26A5">
        <w:t xml:space="preserve">Appendix </w:t>
      </w:r>
      <w:r w:rsidR="004E26A5">
        <w:rPr>
          <w:noProof/>
        </w:rPr>
        <w:t>1</w:t>
      </w:r>
      <w:r>
        <w:rPr>
          <w:rFonts w:cs="Arial"/>
        </w:rPr>
        <w:fldChar w:fldCharType="end"/>
      </w:r>
      <w:r>
        <w:rPr>
          <w:rFonts w:cs="Arial"/>
        </w:rPr>
        <w:t>.</w:t>
      </w:r>
    </w:p>
    <w:p w:rsidR="009B5A38" w:rsidRPr="007C7BAA" w:rsidRDefault="009B5A38" w:rsidP="009B5A38">
      <w:pPr>
        <w:pStyle w:val="Heading1"/>
        <w:ind w:left="709" w:hanging="709"/>
      </w:pPr>
      <w:r w:rsidRPr="007C7BAA">
        <w:t>Introduction</w:t>
      </w:r>
    </w:p>
    <w:p w:rsidR="00E34CF1" w:rsidRDefault="00E33F5D" w:rsidP="009B5A38">
      <w:pPr>
        <w:rPr>
          <w:rFonts w:cs="Arial"/>
        </w:rPr>
      </w:pPr>
      <w:r>
        <w:rPr>
          <w:rFonts w:cs="Arial"/>
        </w:rPr>
        <w:t>Infection is a major cause of morbidity and mortality in primary, secondary and tertiary care settings, and is associated with substantial costs to individuals and health services.</w:t>
      </w:r>
    </w:p>
    <w:p w:rsidR="009B5A38" w:rsidRDefault="00E33F5D" w:rsidP="009B5A38">
      <w:r>
        <w:t>A</w:t>
      </w:r>
      <w:r w:rsidR="00E34CF1">
        <w:t xml:space="preserve"> report published by the then Health Protection Agency in 2005</w:t>
      </w:r>
      <w:r w:rsidR="00E34CF1">
        <w:rPr>
          <w:rStyle w:val="FootnoteReference"/>
        </w:rPr>
        <w:footnoteReference w:id="1"/>
      </w:r>
      <w:r w:rsidR="00E34CF1">
        <w:rPr>
          <w:rFonts w:cs="Arial"/>
        </w:rPr>
        <w:t xml:space="preserve"> </w:t>
      </w:r>
      <w:r w:rsidR="00E34CF1">
        <w:t>stated that a</w:t>
      </w:r>
      <w:r>
        <w:t>pproximately 10% of all deaths in the UK are attributed to infectious diseases, with respiratory infections accounting for by far the larges</w:t>
      </w:r>
      <w:r w:rsidR="00E34CF1">
        <w:t>t proportion (61%), mostly affecting the elderly.</w:t>
      </w:r>
      <w:r w:rsidR="00E34CF1">
        <w:rPr>
          <w:rFonts w:cs="Arial"/>
        </w:rPr>
        <w:t xml:space="preserve"> T</w:t>
      </w:r>
      <w:r>
        <w:t xml:space="preserve">he annual cost of treating infections in England was estimated at approximately £6billion, of which more than </w:t>
      </w:r>
      <w:r w:rsidR="00E34CF1">
        <w:t>h</w:t>
      </w:r>
      <w:r>
        <w:t>alf was borne by primary care. Respirator</w:t>
      </w:r>
      <w:r w:rsidR="00E34CF1">
        <w:t>y infections such as colds and ’</w:t>
      </w:r>
      <w:r>
        <w:t xml:space="preserve">flu generated some 5.5million GP visits annually and cost £170million. </w:t>
      </w:r>
      <w:r w:rsidR="00E34CF1">
        <w:t>[Hospital admissions; impact of infection on many modern complex medical interventions] [Healthcare associated infections] [Antimicrobial resistance]</w:t>
      </w:r>
      <w:r w:rsidR="00D24C19">
        <w:t xml:space="preserve"> [Laboratory centralisation and out-sourcing] [private hospitals and importance of IPC and AMR].</w:t>
      </w:r>
    </w:p>
    <w:p w:rsidR="0001474F" w:rsidRPr="002452C6" w:rsidRDefault="0001474F" w:rsidP="009B5A38">
      <w:pPr>
        <w:rPr>
          <w:rFonts w:cs="Arial"/>
        </w:rPr>
      </w:pPr>
      <w:r>
        <w:t xml:space="preserve">Many NHS Trusts manage multiple acute and sometimes non-acute hospitals. Furthermore, many laboratories provide microbiology (including non-specialist virology) and often specialist virology services to multiple hospitals either within the same NHS Trust or another Trust. Similarly, within the independent sector, microbiology services are provided in a number of different models. Individual hospitals’ management arrangements change over time; however, while there are changes in hospital services, </w:t>
      </w:r>
      <w:r w:rsidR="002D6B66">
        <w:t>the need for acute and on-going care continues to be primarily hospital-centred. Therefore, guidance in this document is based on acute hospital unit, and any associated non-acute hospitals. Guidance on staffing requirements of stand-alone specialist services is beyond the scope of this document. [May reconsider once the model is finalised.]</w:t>
      </w:r>
    </w:p>
    <w:p w:rsidR="009B5A38" w:rsidRPr="00C77208" w:rsidRDefault="009B5A38" w:rsidP="00D24C19">
      <w:pPr>
        <w:pStyle w:val="Heading1"/>
        <w:ind w:left="709" w:hanging="709"/>
      </w:pPr>
      <w:r w:rsidRPr="00B077CA">
        <w:t>Service provided by Infection Departments</w:t>
      </w:r>
    </w:p>
    <w:p w:rsidR="00126204" w:rsidRDefault="009B5A38" w:rsidP="009B5A38">
      <w:pPr>
        <w:pStyle w:val="Heading2"/>
        <w:ind w:left="709" w:hanging="709"/>
      </w:pPr>
      <w:r w:rsidRPr="00091A0E">
        <w:t xml:space="preserve">Infection </w:t>
      </w:r>
      <w:r w:rsidRPr="00C77208">
        <w:t>services</w:t>
      </w:r>
      <w:r w:rsidRPr="00091A0E">
        <w:t xml:space="preserve"> encompass a range of historically separate clinical specialties and diagnostic services which are integrated into routine clinical practice in </w:t>
      </w:r>
      <w:r w:rsidR="00201086">
        <w:t xml:space="preserve">primary, </w:t>
      </w:r>
      <w:r w:rsidR="00201086">
        <w:lastRenderedPageBreak/>
        <w:t>secondary and tertiary care settings</w:t>
      </w:r>
      <w:r w:rsidRPr="00091A0E">
        <w:t>.</w:t>
      </w:r>
      <w:r w:rsidR="00D24C19">
        <w:t xml:space="preserve"> While consultants with training and expertise in a number of specialties are involved with the delivery of infection services, this document is primarily directed at the requirements f</w:t>
      </w:r>
      <w:r w:rsidR="00062412">
        <w:t>or</w:t>
      </w:r>
      <w:r w:rsidR="00D24C19">
        <w:t xml:space="preserve"> consultants in medical microbiology (MM), medical virology (MV) and infectious diseases (ID). Consultant services are delivered by medically-qualified doctors </w:t>
      </w:r>
      <w:r w:rsidR="002D4AF7">
        <w:t xml:space="preserve">on the specialist register who have expertise in one or more of these specialities </w:t>
      </w:r>
      <w:r w:rsidR="00D24C19">
        <w:t>and by clinical scientists with HCPC registration</w:t>
      </w:r>
      <w:r w:rsidR="002D4AF7">
        <w:t xml:space="preserve"> with expertise in MM or MV</w:t>
      </w:r>
      <w:r w:rsidR="00D24C19">
        <w:t>.</w:t>
      </w:r>
    </w:p>
    <w:p w:rsidR="00062412" w:rsidRDefault="00062412" w:rsidP="00062412">
      <w:pPr>
        <w:pStyle w:val="Heading2"/>
        <w:ind w:left="709" w:hanging="709"/>
      </w:pPr>
      <w:r>
        <w:t>All publicly-run and independent hospitals registered with the Care Quality Commission are subject to the requirements of the</w:t>
      </w:r>
      <w:r w:rsidR="002D4AF7">
        <w:t xml:space="preserve"> Health and Social Care Act 2008: Code of practice on the prevention and control of infections and related guidance.</w:t>
      </w:r>
      <w:r>
        <w:t xml:space="preserve"> </w:t>
      </w:r>
      <w:r w:rsidR="002D4AF7">
        <w:t>[review requirements of the COP, incl. Criterion 3 guidance, 3.4] As such they are obliged to have access at all times to microbiology laboratory services and to suitably qualified individuals who can provide advice on appropriate us</w:t>
      </w:r>
      <w:r w:rsidR="00840632">
        <w:t>e</w:t>
      </w:r>
      <w:r w:rsidR="002D4AF7">
        <w:t xml:space="preserve"> of antimicrobial therapy.</w:t>
      </w:r>
      <w:r w:rsidR="00840632">
        <w:t xml:space="preserve"> This would normally be a consultant accredited in MM and/or ID.</w:t>
      </w:r>
    </w:p>
    <w:p w:rsidR="0001474F" w:rsidRDefault="00AC40D5" w:rsidP="0001474F">
      <w:pPr>
        <w:pStyle w:val="Heading2"/>
        <w:ind w:left="709" w:hanging="709"/>
      </w:pPr>
      <w:r>
        <w:t xml:space="preserve">All acute hospitals have access to consultant microbiologists, irrespective of the location of the microbiology laboratory services. All will also have access to consultant virologist services (or of consultant microbiologists with special expertise in virology) either directly or indirectly through arrangements for provision of specialist virology services. Most tertiary referral hospitals have an infectious diseases department. However, many, if not most secondary care hospitals do not have an ID department. </w:t>
      </w:r>
      <w:r w:rsidR="00CB122C">
        <w:t xml:space="preserve">In </w:t>
      </w:r>
      <w:r w:rsidR="00403C8A">
        <w:t xml:space="preserve">some </w:t>
      </w:r>
      <w:r w:rsidR="00CB122C">
        <w:t>locations, w</w:t>
      </w:r>
      <w:r>
        <w:t xml:space="preserve">here both MM and ID </w:t>
      </w:r>
      <w:r w:rsidR="00CB122C">
        <w:t>expertise is in place, joint departments of infection have been established. These have proved successful and the BIA recommends this model.</w:t>
      </w:r>
      <w:r w:rsidR="00CF2BB8">
        <w:t xml:space="preserve"> This facilitates service delivery, building on the respective strengths of consultants with expertise across the spectrum of outputs required of </w:t>
      </w:r>
      <w:r w:rsidR="00D700EC">
        <w:t>infection specialists.</w:t>
      </w:r>
    </w:p>
    <w:p w:rsidR="00B31768" w:rsidRDefault="00B31768" w:rsidP="00B31768">
      <w:pPr>
        <w:pStyle w:val="ListParagraph"/>
      </w:pPr>
    </w:p>
    <w:tbl>
      <w:tblPr>
        <w:tblStyle w:val="TableGrid"/>
        <w:tblW w:w="864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559"/>
        <w:gridCol w:w="1559"/>
        <w:gridCol w:w="1559"/>
      </w:tblGrid>
      <w:tr w:rsidR="00B31768" w:rsidTr="00AB7F8A">
        <w:tc>
          <w:tcPr>
            <w:tcW w:w="3969" w:type="dxa"/>
            <w:tcBorders>
              <w:top w:val="single" w:sz="4" w:space="0" w:color="auto"/>
            </w:tcBorders>
          </w:tcPr>
          <w:p w:rsidR="00B31768" w:rsidRPr="00AB7F8A" w:rsidRDefault="00B31768" w:rsidP="00AB7F8A">
            <w:pPr>
              <w:pStyle w:val="ListParagraph"/>
              <w:keepNext/>
              <w:keepLines/>
              <w:spacing w:before="0"/>
              <w:ind w:left="0"/>
              <w:jc w:val="right"/>
              <w:rPr>
                <w:sz w:val="20"/>
                <w:szCs w:val="20"/>
              </w:rPr>
            </w:pPr>
          </w:p>
        </w:tc>
        <w:tc>
          <w:tcPr>
            <w:tcW w:w="4677" w:type="dxa"/>
            <w:gridSpan w:val="3"/>
            <w:tcBorders>
              <w:top w:val="single" w:sz="4" w:space="0" w:color="auto"/>
              <w:bottom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Service delivery by consultant</w:t>
            </w:r>
          </w:p>
        </w:tc>
      </w:tr>
      <w:tr w:rsidR="00B31768" w:rsidTr="00AB7F8A">
        <w:tc>
          <w:tcPr>
            <w:tcW w:w="3969" w:type="dxa"/>
          </w:tcPr>
          <w:p w:rsidR="00B31768" w:rsidRPr="00AB7F8A" w:rsidRDefault="00B31768" w:rsidP="00AB7F8A">
            <w:pPr>
              <w:pStyle w:val="ListParagraph"/>
              <w:keepNext/>
              <w:keepLines/>
              <w:spacing w:before="0"/>
              <w:ind w:left="0"/>
              <w:jc w:val="right"/>
              <w:rPr>
                <w:sz w:val="20"/>
                <w:szCs w:val="20"/>
              </w:rPr>
            </w:pPr>
          </w:p>
        </w:tc>
        <w:tc>
          <w:tcPr>
            <w:tcW w:w="1559" w:type="dxa"/>
            <w:tcBorders>
              <w:top w:val="single" w:sz="4" w:space="0" w:color="auto"/>
              <w:bottom w:val="single" w:sz="4" w:space="0" w:color="auto"/>
            </w:tcBorders>
          </w:tcPr>
          <w:p w:rsidR="00B31768" w:rsidRPr="00AB7F8A" w:rsidRDefault="00B31768" w:rsidP="00AB7F8A">
            <w:pPr>
              <w:pStyle w:val="ListParagraph"/>
              <w:keepNext/>
              <w:keepLines/>
              <w:spacing w:before="0"/>
              <w:ind w:left="0"/>
              <w:rPr>
                <w:sz w:val="20"/>
                <w:szCs w:val="20"/>
              </w:rPr>
            </w:pPr>
            <w:r w:rsidRPr="00AB7F8A">
              <w:rPr>
                <w:sz w:val="20"/>
                <w:szCs w:val="20"/>
              </w:rPr>
              <w:t>Microbiologists / Virologists</w:t>
            </w:r>
          </w:p>
        </w:tc>
        <w:tc>
          <w:tcPr>
            <w:tcW w:w="1559" w:type="dxa"/>
            <w:tcBorders>
              <w:top w:val="single" w:sz="4" w:space="0" w:color="auto"/>
              <w:bottom w:val="single" w:sz="4" w:space="0" w:color="auto"/>
            </w:tcBorders>
          </w:tcPr>
          <w:p w:rsidR="00B31768" w:rsidRPr="00AB7F8A" w:rsidRDefault="00B31768" w:rsidP="00AB7F8A">
            <w:pPr>
              <w:pStyle w:val="ListParagraph"/>
              <w:keepNext/>
              <w:keepLines/>
              <w:spacing w:before="0"/>
              <w:ind w:left="0"/>
              <w:rPr>
                <w:sz w:val="20"/>
                <w:szCs w:val="20"/>
              </w:rPr>
            </w:pPr>
            <w:r w:rsidRPr="00AB7F8A">
              <w:rPr>
                <w:sz w:val="20"/>
                <w:szCs w:val="20"/>
              </w:rPr>
              <w:t>ID physicians</w:t>
            </w:r>
          </w:p>
        </w:tc>
        <w:tc>
          <w:tcPr>
            <w:tcW w:w="1559" w:type="dxa"/>
            <w:tcBorders>
              <w:top w:val="single" w:sz="4" w:space="0" w:color="auto"/>
              <w:bottom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C</w:t>
            </w:r>
            <w:r w:rsidR="00AB7F8A">
              <w:rPr>
                <w:sz w:val="20"/>
                <w:szCs w:val="20"/>
              </w:rPr>
              <w:t>lin Scientists</w:t>
            </w:r>
            <w:r w:rsidRPr="00AB7F8A">
              <w:rPr>
                <w:sz w:val="20"/>
                <w:szCs w:val="20"/>
              </w:rPr>
              <w:t xml:space="preserve"> (MM or MV)</w:t>
            </w:r>
          </w:p>
        </w:tc>
      </w:tr>
      <w:tr w:rsidR="00B31768" w:rsidTr="00AB7F8A">
        <w:tc>
          <w:tcPr>
            <w:tcW w:w="8646" w:type="dxa"/>
            <w:gridSpan w:val="4"/>
            <w:tcBorders>
              <w:bottom w:val="single" w:sz="4" w:space="0" w:color="auto"/>
            </w:tcBorders>
          </w:tcPr>
          <w:p w:rsidR="00B31768" w:rsidRPr="00AB7F8A" w:rsidRDefault="00B31768" w:rsidP="00AB7F8A">
            <w:pPr>
              <w:pStyle w:val="ListParagraph"/>
              <w:keepNext/>
              <w:keepLines/>
              <w:spacing w:before="0"/>
              <w:ind w:left="0"/>
              <w:rPr>
                <w:i/>
                <w:sz w:val="20"/>
                <w:szCs w:val="20"/>
              </w:rPr>
            </w:pPr>
            <w:r w:rsidRPr="00AB7F8A">
              <w:rPr>
                <w:i/>
                <w:sz w:val="20"/>
                <w:szCs w:val="20"/>
              </w:rPr>
              <w:t>Core requirements at all hospitals</w:t>
            </w:r>
          </w:p>
        </w:tc>
      </w:tr>
      <w:tr w:rsidR="00B31768" w:rsidTr="00AB7F8A">
        <w:tc>
          <w:tcPr>
            <w:tcW w:w="3969" w:type="dxa"/>
            <w:tcBorders>
              <w:top w:val="single" w:sz="4" w:space="0" w:color="auto"/>
            </w:tcBorders>
          </w:tcPr>
          <w:p w:rsidR="00B31768" w:rsidRPr="00AB7F8A" w:rsidRDefault="00B31768" w:rsidP="00AB7F8A">
            <w:pPr>
              <w:pStyle w:val="ListParagraph"/>
              <w:keepNext/>
              <w:keepLines/>
              <w:spacing w:before="0"/>
              <w:ind w:left="0"/>
              <w:rPr>
                <w:sz w:val="20"/>
                <w:szCs w:val="20"/>
              </w:rPr>
            </w:pPr>
            <w:r w:rsidRPr="00AB7F8A">
              <w:rPr>
                <w:sz w:val="20"/>
                <w:szCs w:val="20"/>
              </w:rPr>
              <w:t>Ward and telephone clinical consultations; participation in MDTs</w:t>
            </w: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r>
      <w:tr w:rsidR="00B31768" w:rsidTr="00AB7F8A">
        <w:tc>
          <w:tcPr>
            <w:tcW w:w="3969" w:type="dxa"/>
          </w:tcPr>
          <w:p w:rsidR="00B31768" w:rsidRPr="00AB7F8A" w:rsidRDefault="00B31768" w:rsidP="00AB7F8A">
            <w:pPr>
              <w:pStyle w:val="ListParagraph"/>
              <w:keepNext/>
              <w:keepLines/>
              <w:spacing w:before="0"/>
              <w:ind w:left="0"/>
              <w:rPr>
                <w:sz w:val="20"/>
                <w:szCs w:val="20"/>
              </w:rPr>
            </w:pPr>
            <w:r w:rsidRPr="00AB7F8A">
              <w:rPr>
                <w:sz w:val="20"/>
                <w:szCs w:val="20"/>
              </w:rPr>
              <w:t>Proactive discussion of test results with clinicians</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r>
      <w:tr w:rsidR="00B31768" w:rsidTr="00AB7F8A">
        <w:tc>
          <w:tcPr>
            <w:tcW w:w="3969" w:type="dxa"/>
          </w:tcPr>
          <w:p w:rsidR="00B31768" w:rsidRPr="00AB7F8A" w:rsidRDefault="00B31768" w:rsidP="00AB7F8A">
            <w:pPr>
              <w:pStyle w:val="ListParagraph"/>
              <w:keepNext/>
              <w:keepLines/>
              <w:spacing w:before="0"/>
              <w:ind w:left="0"/>
              <w:rPr>
                <w:sz w:val="20"/>
                <w:szCs w:val="20"/>
              </w:rPr>
            </w:pPr>
            <w:r w:rsidRPr="00AB7F8A">
              <w:rPr>
                <w:sz w:val="20"/>
                <w:szCs w:val="20"/>
              </w:rPr>
              <w:t>Laboratory result reporting</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r>
      <w:tr w:rsidR="00B31768" w:rsidTr="00AB7F8A">
        <w:tc>
          <w:tcPr>
            <w:tcW w:w="3969" w:type="dxa"/>
          </w:tcPr>
          <w:p w:rsidR="00B31768" w:rsidRPr="00AB7F8A" w:rsidRDefault="00B31768" w:rsidP="00AB7F8A">
            <w:pPr>
              <w:pStyle w:val="ListParagraph"/>
              <w:keepNext/>
              <w:keepLines/>
              <w:spacing w:before="0"/>
              <w:ind w:left="0"/>
              <w:rPr>
                <w:sz w:val="20"/>
                <w:szCs w:val="20"/>
              </w:rPr>
            </w:pPr>
            <w:r w:rsidRPr="00AB7F8A">
              <w:rPr>
                <w:sz w:val="20"/>
                <w:szCs w:val="20"/>
              </w:rPr>
              <w:t>Input into laboratory direction</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r>
      <w:tr w:rsidR="00B31768" w:rsidTr="00AB7F8A">
        <w:tc>
          <w:tcPr>
            <w:tcW w:w="3969" w:type="dxa"/>
          </w:tcPr>
          <w:p w:rsidR="00B31768" w:rsidRPr="00AB7F8A" w:rsidRDefault="00B31768" w:rsidP="00AB7F8A">
            <w:pPr>
              <w:pStyle w:val="ListParagraph"/>
              <w:keepNext/>
              <w:keepLines/>
              <w:spacing w:before="0"/>
              <w:ind w:left="0"/>
              <w:rPr>
                <w:sz w:val="20"/>
                <w:szCs w:val="20"/>
              </w:rPr>
            </w:pPr>
            <w:r w:rsidRPr="00AB7F8A">
              <w:rPr>
                <w:sz w:val="20"/>
                <w:szCs w:val="20"/>
              </w:rPr>
              <w:t>Hospital policy, guidance development, clinical governance</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p>
        </w:tc>
      </w:tr>
      <w:tr w:rsidR="00B31768" w:rsidTr="00AB7F8A">
        <w:tc>
          <w:tcPr>
            <w:tcW w:w="3969" w:type="dxa"/>
          </w:tcPr>
          <w:p w:rsidR="00B31768" w:rsidRPr="00AB7F8A" w:rsidRDefault="00B31768" w:rsidP="00AB7F8A">
            <w:pPr>
              <w:pStyle w:val="ListParagraph"/>
              <w:keepNext/>
              <w:keepLines/>
              <w:spacing w:before="0"/>
              <w:ind w:left="0"/>
              <w:rPr>
                <w:sz w:val="20"/>
                <w:szCs w:val="20"/>
              </w:rPr>
            </w:pPr>
            <w:r w:rsidRPr="00AB7F8A">
              <w:rPr>
                <w:sz w:val="20"/>
                <w:szCs w:val="20"/>
              </w:rPr>
              <w:t>IPC and AMR</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r>
      <w:tr w:rsidR="00B31768" w:rsidTr="00AB7F8A">
        <w:tc>
          <w:tcPr>
            <w:tcW w:w="3969" w:type="dxa"/>
          </w:tcPr>
          <w:p w:rsidR="00B31768" w:rsidRPr="00AB7F8A" w:rsidRDefault="00B31768" w:rsidP="00AB7F8A">
            <w:pPr>
              <w:pStyle w:val="ListParagraph"/>
              <w:keepNext/>
              <w:keepLines/>
              <w:spacing w:before="0"/>
              <w:ind w:left="0"/>
              <w:rPr>
                <w:sz w:val="20"/>
                <w:szCs w:val="20"/>
              </w:rPr>
            </w:pPr>
            <w:r w:rsidRPr="00AB7F8A">
              <w:rPr>
                <w:sz w:val="20"/>
                <w:szCs w:val="20"/>
              </w:rPr>
              <w:t>OPAT oversight</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p>
        </w:tc>
      </w:tr>
      <w:tr w:rsidR="00B31768" w:rsidTr="00AB7F8A">
        <w:tc>
          <w:tcPr>
            <w:tcW w:w="8646" w:type="dxa"/>
            <w:gridSpan w:val="4"/>
            <w:tcBorders>
              <w:bottom w:val="single" w:sz="4" w:space="0" w:color="auto"/>
            </w:tcBorders>
          </w:tcPr>
          <w:p w:rsidR="00B31768" w:rsidRPr="00AB7F8A" w:rsidRDefault="00B31768" w:rsidP="00AB7F8A">
            <w:pPr>
              <w:pStyle w:val="ListParagraph"/>
              <w:keepNext/>
              <w:keepLines/>
              <w:spacing w:before="0"/>
              <w:ind w:left="0"/>
              <w:rPr>
                <w:i/>
                <w:sz w:val="20"/>
                <w:szCs w:val="20"/>
              </w:rPr>
            </w:pPr>
            <w:r w:rsidRPr="00AB7F8A">
              <w:rPr>
                <w:i/>
                <w:sz w:val="20"/>
                <w:szCs w:val="20"/>
              </w:rPr>
              <w:t>Requirements in hospitals with on-site laboratories</w:t>
            </w:r>
          </w:p>
        </w:tc>
      </w:tr>
      <w:tr w:rsidR="00B31768" w:rsidTr="00AB7F8A">
        <w:tc>
          <w:tcPr>
            <w:tcW w:w="3969" w:type="dxa"/>
            <w:tcBorders>
              <w:top w:val="single" w:sz="4" w:space="0" w:color="auto"/>
            </w:tcBorders>
          </w:tcPr>
          <w:p w:rsidR="00B31768" w:rsidRPr="00AB7F8A" w:rsidRDefault="00B31768" w:rsidP="00AB7F8A">
            <w:pPr>
              <w:pStyle w:val="ListParagraph"/>
              <w:keepNext/>
              <w:keepLines/>
              <w:spacing w:before="0"/>
              <w:ind w:left="0"/>
              <w:rPr>
                <w:sz w:val="20"/>
                <w:szCs w:val="20"/>
              </w:rPr>
            </w:pPr>
            <w:r w:rsidRPr="00AB7F8A">
              <w:rPr>
                <w:sz w:val="20"/>
                <w:szCs w:val="20"/>
              </w:rPr>
              <w:t>Laboratory direction</w:t>
            </w: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r>
      <w:tr w:rsidR="00B31768" w:rsidTr="00AB7F8A">
        <w:tc>
          <w:tcPr>
            <w:tcW w:w="3969" w:type="dxa"/>
          </w:tcPr>
          <w:p w:rsidR="00B31768" w:rsidRPr="00AB7F8A" w:rsidRDefault="00B31768" w:rsidP="00AB7F8A">
            <w:pPr>
              <w:pStyle w:val="ListParagraph"/>
              <w:keepNext/>
              <w:keepLines/>
              <w:spacing w:before="0"/>
              <w:ind w:left="0"/>
              <w:rPr>
                <w:sz w:val="20"/>
                <w:szCs w:val="20"/>
              </w:rPr>
            </w:pPr>
            <w:r w:rsidRPr="00AB7F8A">
              <w:rPr>
                <w:sz w:val="20"/>
                <w:szCs w:val="20"/>
              </w:rPr>
              <w:t>Laboratory oversight</w:t>
            </w: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Pr>
          <w:p w:rsidR="00B31768" w:rsidRPr="00AB7F8A" w:rsidRDefault="00B31768" w:rsidP="00AB7F8A">
            <w:pPr>
              <w:pStyle w:val="ListParagraph"/>
              <w:keepNext/>
              <w:keepLines/>
              <w:spacing w:before="0"/>
              <w:ind w:left="0"/>
              <w:jc w:val="center"/>
              <w:rPr>
                <w:sz w:val="20"/>
                <w:szCs w:val="20"/>
              </w:rPr>
            </w:pPr>
          </w:p>
        </w:tc>
        <w:tc>
          <w:tcPr>
            <w:tcW w:w="1559" w:type="dxa"/>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r>
      <w:tr w:rsidR="00B31768" w:rsidTr="00AB7F8A">
        <w:tc>
          <w:tcPr>
            <w:tcW w:w="8646" w:type="dxa"/>
            <w:gridSpan w:val="4"/>
            <w:tcBorders>
              <w:bottom w:val="single" w:sz="4" w:space="0" w:color="auto"/>
            </w:tcBorders>
          </w:tcPr>
          <w:p w:rsidR="00B31768" w:rsidRPr="00AB7F8A" w:rsidRDefault="00B31768" w:rsidP="00AB7F8A">
            <w:pPr>
              <w:pStyle w:val="ListParagraph"/>
              <w:keepNext/>
              <w:keepLines/>
              <w:spacing w:before="0"/>
              <w:ind w:left="0"/>
              <w:rPr>
                <w:i/>
                <w:sz w:val="20"/>
                <w:szCs w:val="20"/>
              </w:rPr>
            </w:pPr>
            <w:r w:rsidRPr="00AB7F8A">
              <w:rPr>
                <w:i/>
                <w:sz w:val="20"/>
                <w:szCs w:val="20"/>
              </w:rPr>
              <w:t>Specific clinical requirements</w:t>
            </w:r>
          </w:p>
        </w:tc>
      </w:tr>
      <w:tr w:rsidR="00B31768" w:rsidTr="00AB7F8A">
        <w:tc>
          <w:tcPr>
            <w:tcW w:w="3969" w:type="dxa"/>
            <w:tcBorders>
              <w:top w:val="single" w:sz="4" w:space="0" w:color="auto"/>
            </w:tcBorders>
          </w:tcPr>
          <w:p w:rsidR="00B31768" w:rsidRPr="00AB7F8A" w:rsidRDefault="00B31768" w:rsidP="00AB7F8A">
            <w:pPr>
              <w:pStyle w:val="ListParagraph"/>
              <w:keepNext/>
              <w:keepLines/>
              <w:spacing w:before="0"/>
              <w:ind w:left="0"/>
              <w:rPr>
                <w:sz w:val="20"/>
                <w:szCs w:val="20"/>
              </w:rPr>
            </w:pPr>
            <w:r w:rsidRPr="00AB7F8A">
              <w:rPr>
                <w:sz w:val="20"/>
                <w:szCs w:val="20"/>
              </w:rPr>
              <w:t>Responsibility for in-patients</w:t>
            </w: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Borders>
              <w:top w:val="single" w:sz="4" w:space="0" w:color="auto"/>
            </w:tcBorders>
          </w:tcPr>
          <w:p w:rsidR="00B31768" w:rsidRPr="00AB7F8A" w:rsidRDefault="00B31768" w:rsidP="00AB7F8A">
            <w:pPr>
              <w:pStyle w:val="ListParagraph"/>
              <w:keepNext/>
              <w:keepLines/>
              <w:spacing w:before="0"/>
              <w:ind w:left="0"/>
              <w:jc w:val="center"/>
              <w:rPr>
                <w:sz w:val="20"/>
                <w:szCs w:val="20"/>
              </w:rPr>
            </w:pPr>
          </w:p>
        </w:tc>
      </w:tr>
      <w:tr w:rsidR="00B31768" w:rsidTr="00AB7F8A">
        <w:tc>
          <w:tcPr>
            <w:tcW w:w="3969" w:type="dxa"/>
            <w:tcBorders>
              <w:bottom w:val="single" w:sz="4" w:space="0" w:color="auto"/>
            </w:tcBorders>
          </w:tcPr>
          <w:p w:rsidR="00B31768" w:rsidRPr="00AB7F8A" w:rsidRDefault="00B31768" w:rsidP="00AB7F8A">
            <w:pPr>
              <w:pStyle w:val="ListParagraph"/>
              <w:keepNext/>
              <w:keepLines/>
              <w:spacing w:before="0"/>
              <w:ind w:left="0"/>
              <w:rPr>
                <w:sz w:val="20"/>
                <w:szCs w:val="20"/>
              </w:rPr>
            </w:pPr>
            <w:r w:rsidRPr="00AB7F8A">
              <w:rPr>
                <w:sz w:val="20"/>
                <w:szCs w:val="20"/>
              </w:rPr>
              <w:t>Clinics</w:t>
            </w:r>
          </w:p>
        </w:tc>
        <w:tc>
          <w:tcPr>
            <w:tcW w:w="1559" w:type="dxa"/>
            <w:tcBorders>
              <w:bottom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Borders>
              <w:bottom w:val="single" w:sz="4" w:space="0" w:color="auto"/>
            </w:tcBorders>
          </w:tcPr>
          <w:p w:rsidR="00B31768" w:rsidRPr="00AB7F8A" w:rsidRDefault="00B31768" w:rsidP="00AB7F8A">
            <w:pPr>
              <w:pStyle w:val="ListParagraph"/>
              <w:keepNext/>
              <w:keepLines/>
              <w:spacing w:before="0"/>
              <w:ind w:left="0"/>
              <w:jc w:val="center"/>
              <w:rPr>
                <w:sz w:val="20"/>
                <w:szCs w:val="20"/>
              </w:rPr>
            </w:pPr>
            <w:r w:rsidRPr="00AB7F8A">
              <w:rPr>
                <w:sz w:val="20"/>
                <w:szCs w:val="20"/>
              </w:rPr>
              <w:t>Y</w:t>
            </w:r>
          </w:p>
        </w:tc>
        <w:tc>
          <w:tcPr>
            <w:tcW w:w="1559" w:type="dxa"/>
            <w:tcBorders>
              <w:bottom w:val="single" w:sz="4" w:space="0" w:color="auto"/>
            </w:tcBorders>
          </w:tcPr>
          <w:p w:rsidR="00B31768" w:rsidRPr="00AB7F8A" w:rsidRDefault="00B31768" w:rsidP="00AB7F8A">
            <w:pPr>
              <w:pStyle w:val="ListParagraph"/>
              <w:keepNext/>
              <w:keepLines/>
              <w:spacing w:before="0"/>
              <w:ind w:left="0"/>
              <w:jc w:val="center"/>
              <w:rPr>
                <w:sz w:val="20"/>
                <w:szCs w:val="20"/>
              </w:rPr>
            </w:pPr>
          </w:p>
        </w:tc>
      </w:tr>
    </w:tbl>
    <w:p w:rsidR="00B31768" w:rsidRPr="00AB7F8A" w:rsidRDefault="00B31768" w:rsidP="00B31768">
      <w:pPr>
        <w:ind w:left="720"/>
        <w:rPr>
          <w:sz w:val="20"/>
          <w:szCs w:val="20"/>
        </w:rPr>
      </w:pPr>
      <w:r w:rsidRPr="00AB7F8A">
        <w:rPr>
          <w:sz w:val="20"/>
          <w:szCs w:val="20"/>
        </w:rPr>
        <w:t>* Dependent on specific expertise</w:t>
      </w:r>
    </w:p>
    <w:p w:rsidR="00D24C19" w:rsidRDefault="00CB122C" w:rsidP="00CB122C">
      <w:pPr>
        <w:pStyle w:val="Heading2"/>
        <w:ind w:left="709" w:hanging="709"/>
      </w:pPr>
      <w:r>
        <w:t>The BIA has developed detailed guidance on a service specification. This can be accessed at xxxxx</w:t>
      </w:r>
      <w:r w:rsidR="004C0882">
        <w:t xml:space="preserve"> [alternatively put in an appendix]</w:t>
      </w:r>
      <w:r>
        <w:t>.</w:t>
      </w:r>
    </w:p>
    <w:p w:rsidR="004C0882" w:rsidRDefault="004C0882" w:rsidP="004C0882">
      <w:pPr>
        <w:pStyle w:val="Heading2"/>
        <w:ind w:left="709" w:hanging="709"/>
      </w:pPr>
      <w:r>
        <w:t>Impact of laboratory centralisation</w:t>
      </w:r>
    </w:p>
    <w:p w:rsidR="00A627B8" w:rsidRDefault="004C0882" w:rsidP="004C0882">
      <w:r>
        <w:t xml:space="preserve">Since the publication of the </w:t>
      </w:r>
      <w:r w:rsidR="00BD1291">
        <w:t xml:space="preserve">Report of the review of NHS pathology services in England in 2006 (commonly referred to as the first Carter Report), there has been a </w:t>
      </w:r>
      <w:r w:rsidR="00BD1291">
        <w:lastRenderedPageBreak/>
        <w:t>considerable increase in centralised laboratories. This has resulted in acute (and sometimes specialist) hospitals no longer having a microbiology service on site, with consultant microbiologist services being provided to the hospital primarily either remotely from consultants based in the laboratory or by restricting the access of clinicians and the microbiologists themselves to the laboratory. [comment on impact – e.g. refer to RCPath statement; BIA publication in Bulletin; HSJ].</w:t>
      </w:r>
    </w:p>
    <w:p w:rsidR="0078735D" w:rsidRDefault="00A627B8" w:rsidP="004C0882">
      <w:r>
        <w:t>BIA firmly recommends that consultant microbiologists are employed by the Trust at which they work primarily. Each hospital, regardless of managerial arrangements (e.g multi-site Trusts) should have designated microbiologists who have a long-term relationship with that hospital and its clinical team.</w:t>
      </w:r>
      <w:r w:rsidR="0078735D">
        <w:t xml:space="preserve"> [comment on private hospitals here]</w:t>
      </w:r>
    </w:p>
    <w:p w:rsidR="004C0882" w:rsidRDefault="00AB7F8A" w:rsidP="004C0882">
      <w:r>
        <w:t xml:space="preserve">The impact of centralisation on laboratory budgets, whether positive or negative, is beyond the scope of this guideline. However, </w:t>
      </w:r>
      <w:r w:rsidR="00937327">
        <w:t xml:space="preserve">centralisation is invariably triggered as a cost-cutting exercise and as a consequence, specimen processing is often factory-like, requiring greater consultant input day-to-day, </w:t>
      </w:r>
      <w:r w:rsidR="00E1227E">
        <w:t xml:space="preserve">to </w:t>
      </w:r>
      <w:r w:rsidR="00937327">
        <w:t xml:space="preserve">deal with </w:t>
      </w:r>
      <w:r w:rsidR="00E1227E">
        <w:t xml:space="preserve">sometimes </w:t>
      </w:r>
      <w:r w:rsidR="00937327">
        <w:t xml:space="preserve">inappropriately restricted testing or due to greater frequency of errors. There is also an </w:t>
      </w:r>
      <w:r>
        <w:t xml:space="preserve">increased need for communication between </w:t>
      </w:r>
      <w:r w:rsidR="00A627B8">
        <w:t xml:space="preserve">the consultants and the laboratory, both for day-to-day purposes and to represent clinical colleagues in hospitals without an on-site laboratory at </w:t>
      </w:r>
      <w:r w:rsidR="00937327">
        <w:t xml:space="preserve">the central </w:t>
      </w:r>
      <w:r w:rsidR="00A627B8">
        <w:t xml:space="preserve">laboratory strategic developments, as well as </w:t>
      </w:r>
      <w:r w:rsidR="00937327">
        <w:t>due to travel requirements, as necessary.</w:t>
      </w:r>
    </w:p>
    <w:p w:rsidR="00235B9D" w:rsidRDefault="00E1227E" w:rsidP="00E1227E">
      <w:pPr>
        <w:pStyle w:val="Heading2"/>
        <w:ind w:left="709" w:hanging="709"/>
      </w:pPr>
      <w:r>
        <w:t xml:space="preserve">The </w:t>
      </w:r>
      <w:r w:rsidR="00C65BE0">
        <w:t>importance</w:t>
      </w:r>
      <w:r>
        <w:t xml:space="preserve"> of an infection service.</w:t>
      </w:r>
      <w:r>
        <w:br/>
        <w:t xml:space="preserve">As distinct from most other specialties, items of service </w:t>
      </w:r>
      <w:r w:rsidR="00FC5262">
        <w:t xml:space="preserve">in the clinical infection field </w:t>
      </w:r>
      <w:r>
        <w:t xml:space="preserve">are not funded </w:t>
      </w:r>
      <w:r w:rsidR="001F453E">
        <w:t xml:space="preserve">in a cost and volume manner, thereby enabling the funding for an appropriate number of consultants commensurate to workload (in England). Infection services have developed </w:t>
      </w:r>
      <w:r w:rsidR="00C65BE0">
        <w:t>organically over many years: when established, participation in wards rounds and MDTs has almost invariably been welcome. There is extensive evidence in the literature that demonstrates improved outcomes in certain conditions when infection specialists support clinicians in the management of complex cases. However, robust evidence of the benefit of a comprehensive ward-based consultative infection service is incomplete [extensive referencing needed; improved wording]</w:t>
      </w:r>
      <w:r w:rsidR="00FC5262">
        <w:t>.</w:t>
      </w:r>
    </w:p>
    <w:p w:rsidR="00E1227E" w:rsidRDefault="00FC5262" w:rsidP="00235B9D">
      <w:r>
        <w:t>Regulatory requirements [CQC; UKAS]</w:t>
      </w:r>
    </w:p>
    <w:p w:rsidR="00FC5262" w:rsidRDefault="00FC5262" w:rsidP="00FC5262">
      <w:r>
        <w:t>Antimicrobial stewardship</w:t>
      </w:r>
    </w:p>
    <w:p w:rsidR="00FC5262" w:rsidRDefault="00FC5262" w:rsidP="00FC5262">
      <w:r>
        <w:t>Infection Prevention and control</w:t>
      </w:r>
      <w:r w:rsidR="00D75179">
        <w:t xml:space="preserve"> [Specific roles of DIPC and ICD in Appendix]</w:t>
      </w:r>
    </w:p>
    <w:p w:rsidR="00D75179" w:rsidRDefault="00D75179" w:rsidP="00FC5262">
      <w:r>
        <w:t>OPAT services</w:t>
      </w:r>
    </w:p>
    <w:p w:rsidR="00CB122C" w:rsidRDefault="00CB122C" w:rsidP="00D24C19"/>
    <w:p w:rsidR="00F46F7F" w:rsidRDefault="00F46F7F" w:rsidP="00F46F7F">
      <w:pPr>
        <w:pStyle w:val="Heading2"/>
        <w:ind w:left="709" w:hanging="709"/>
      </w:pPr>
      <w:r>
        <w:t>Supporting  requirements</w:t>
      </w:r>
    </w:p>
    <w:p w:rsidR="00F46F7F" w:rsidRDefault="00F46F7F" w:rsidP="00F46F7F">
      <w:r>
        <w:t>Secretarial assistance</w:t>
      </w:r>
    </w:p>
    <w:p w:rsidR="00F46F7F" w:rsidRDefault="00F46F7F" w:rsidP="00F46F7F">
      <w:r>
        <w:t>Suitable office accommodation</w:t>
      </w:r>
    </w:p>
    <w:p w:rsidR="00F46F7F" w:rsidRPr="00F46F7F" w:rsidRDefault="00F46F7F" w:rsidP="00F46F7F">
      <w:r>
        <w:t>Absence of these leads to inefficiency and will require a greater consultant staffing requirement.</w:t>
      </w:r>
    </w:p>
    <w:p w:rsidR="009B5A38" w:rsidRDefault="009B5A38" w:rsidP="009B5A38">
      <w:pPr>
        <w:rPr>
          <w:rFonts w:cs="Arial"/>
        </w:rPr>
      </w:pPr>
    </w:p>
    <w:p w:rsidR="00D75179" w:rsidRDefault="00D75179" w:rsidP="00D75179">
      <w:pPr>
        <w:pStyle w:val="Heading2"/>
        <w:ind w:left="709" w:hanging="709"/>
      </w:pPr>
      <w:r>
        <w:t>The model</w:t>
      </w:r>
    </w:p>
    <w:p w:rsidR="00D75179" w:rsidRDefault="00D75179" w:rsidP="00D75179"/>
    <w:p w:rsidR="00D75179" w:rsidRDefault="00D75179">
      <w:pPr>
        <w:spacing w:before="0"/>
        <w:ind w:left="0"/>
      </w:pPr>
      <w:r>
        <w:br w:type="page"/>
      </w:r>
    </w:p>
    <w:p w:rsidR="00D75179" w:rsidRPr="00D75179" w:rsidRDefault="00D75179" w:rsidP="00D75179">
      <w:r>
        <w:lastRenderedPageBreak/>
        <w:t>Appendices</w:t>
      </w:r>
    </w:p>
    <w:p w:rsidR="009B5A38" w:rsidRPr="003E3DC8" w:rsidRDefault="009B5A38" w:rsidP="009B5A38">
      <w:pPr>
        <w:rPr>
          <w:rFonts w:cs="Arial"/>
          <w:b/>
          <w:sz w:val="24"/>
          <w:szCs w:val="24"/>
          <w:lang w:val="en-US"/>
        </w:rPr>
      </w:pPr>
      <w:r w:rsidRPr="003E3DC8">
        <w:rPr>
          <w:rFonts w:cs="Arial"/>
          <w:b/>
          <w:sz w:val="24"/>
          <w:szCs w:val="24"/>
        </w:rPr>
        <w:t>7</w:t>
      </w:r>
      <w:r w:rsidRPr="003E3DC8">
        <w:rPr>
          <w:rFonts w:cs="Arial"/>
          <w:b/>
          <w:sz w:val="24"/>
          <w:szCs w:val="24"/>
        </w:rPr>
        <w:tab/>
      </w:r>
      <w:r w:rsidRPr="003E3DC8">
        <w:rPr>
          <w:rFonts w:cs="Arial"/>
          <w:b/>
          <w:sz w:val="24"/>
          <w:szCs w:val="24"/>
          <w:lang w:val="en-US"/>
        </w:rPr>
        <w:t>Duties of a Microbiologist in the role of DIPC and Infection Control Doctor</w:t>
      </w:r>
    </w:p>
    <w:p w:rsidR="009B5A38" w:rsidRDefault="009B5A38" w:rsidP="009B5A38">
      <w:pPr>
        <w:jc w:val="both"/>
        <w:rPr>
          <w:rFonts w:cs="Arial"/>
          <w:b/>
        </w:rPr>
      </w:pPr>
    </w:p>
    <w:p w:rsidR="009B5A38" w:rsidRDefault="009B5A38" w:rsidP="009B5A38">
      <w:pPr>
        <w:jc w:val="both"/>
        <w:rPr>
          <w:rFonts w:cs="Arial"/>
        </w:rPr>
      </w:pPr>
      <w:r w:rsidRPr="003E3DC8">
        <w:rPr>
          <w:rFonts w:cs="Arial"/>
          <w:b/>
        </w:rPr>
        <w:t>7.1</w:t>
      </w:r>
      <w:r>
        <w:rPr>
          <w:rFonts w:cs="Arial"/>
        </w:rPr>
        <w:t xml:space="preserve"> </w:t>
      </w:r>
      <w:r w:rsidRPr="00B41AA7">
        <w:rPr>
          <w:rFonts w:cs="Arial"/>
        </w:rPr>
        <w:t xml:space="preserve">There is significant overlap between the roles of Infection Control Doctor </w:t>
      </w:r>
      <w:r>
        <w:rPr>
          <w:rFonts w:cs="Arial"/>
        </w:rPr>
        <w:t xml:space="preserve">(ICD) </w:t>
      </w:r>
      <w:r w:rsidRPr="00B41AA7">
        <w:rPr>
          <w:rFonts w:cs="Arial"/>
        </w:rPr>
        <w:t>and Director of Infection Prevention and Control</w:t>
      </w:r>
      <w:r>
        <w:rPr>
          <w:rFonts w:cs="Arial"/>
        </w:rPr>
        <w:t xml:space="preserve"> (DIPC)</w:t>
      </w:r>
      <w:r w:rsidRPr="00B41AA7">
        <w:rPr>
          <w:rFonts w:cs="Arial"/>
        </w:rPr>
        <w:t>. Whilst we have sub-divided the duties under the ‘Infection Control Doctor’ and ‘DIPC’ sub-headings in this document, it is recognised that, when the ‘Infection Control Doctor’ role is undertaken by a Microbiology Consultant but the ‘DIPC’ role is undertaken by a healthcare professional who is not t</w:t>
      </w:r>
      <w:r>
        <w:rPr>
          <w:rFonts w:cs="Arial"/>
        </w:rPr>
        <w:t>rained in Infection Prevention and</w:t>
      </w:r>
      <w:r w:rsidRPr="00B41AA7">
        <w:rPr>
          <w:rFonts w:cs="Arial"/>
        </w:rPr>
        <w:t xml:space="preserve"> Control (e.g. Chief Nurse, Medical Director Chief Executive</w:t>
      </w:r>
      <w:r>
        <w:rPr>
          <w:rFonts w:cs="Arial"/>
        </w:rPr>
        <w:t>)</w:t>
      </w:r>
      <w:r w:rsidRPr="00B41AA7">
        <w:rPr>
          <w:rFonts w:cs="Arial"/>
        </w:rPr>
        <w:t>, there is likely to be a significant variation in the roles. It is therefore a matter for local negotiation as to which roles are best fulfilled by whom under these circumstances. It is likely that when the DIPC is not the Infection Control Doctor, many of the remits listed in this document as duties of the DIPC will either be allocated to the Infection Control Doctor or require significant support from the Infection Control Doctor to provide the expert knowledge base required.</w:t>
      </w:r>
    </w:p>
    <w:p w:rsidR="009B5A38" w:rsidRPr="00B41AA7" w:rsidRDefault="009B5A38" w:rsidP="009B5A38">
      <w:pPr>
        <w:jc w:val="both"/>
        <w:rPr>
          <w:rFonts w:cs="Arial"/>
        </w:rPr>
      </w:pPr>
    </w:p>
    <w:p w:rsidR="009B5A38" w:rsidRPr="00B41AA7" w:rsidRDefault="009B5A38" w:rsidP="009B5A38">
      <w:pPr>
        <w:jc w:val="both"/>
        <w:rPr>
          <w:rFonts w:cs="Arial"/>
        </w:rPr>
      </w:pPr>
      <w:r w:rsidRPr="003E3DC8">
        <w:rPr>
          <w:rFonts w:cs="Arial"/>
          <w:b/>
        </w:rPr>
        <w:t>7.2</w:t>
      </w:r>
      <w:r>
        <w:rPr>
          <w:rFonts w:cs="Arial"/>
        </w:rPr>
        <w:t xml:space="preserve"> </w:t>
      </w:r>
      <w:r w:rsidRPr="00B41AA7">
        <w:rPr>
          <w:rFonts w:cs="Arial"/>
        </w:rPr>
        <w:t xml:space="preserve">It is recognised that there is a wide variation of Trust structures and that the responsibilities of both ICDs and DIPCs will vary in exact details of the remit for a particular Trust and are therefore a matter for local negotiation. This document aims therefore to provide an overview of the range of core duties for these roles. </w:t>
      </w:r>
    </w:p>
    <w:p w:rsidR="009B5A38" w:rsidRDefault="009B5A38" w:rsidP="009B5A38">
      <w:pPr>
        <w:rPr>
          <w:rFonts w:cs="Arial"/>
        </w:rPr>
      </w:pPr>
    </w:p>
    <w:p w:rsidR="009B5A38" w:rsidRPr="00B41AA7" w:rsidRDefault="009B5A38" w:rsidP="009B5A38">
      <w:pPr>
        <w:jc w:val="both"/>
        <w:rPr>
          <w:rFonts w:cs="Arial"/>
        </w:rPr>
      </w:pPr>
      <w:r w:rsidRPr="00B41AA7">
        <w:rPr>
          <w:rFonts w:cs="Arial"/>
        </w:rPr>
        <w:t>Also, whilst this workforce planning document suggests guideline P</w:t>
      </w:r>
      <w:r>
        <w:rPr>
          <w:rFonts w:cs="Arial"/>
        </w:rPr>
        <w:t>rogrammed Activities (P</w:t>
      </w:r>
      <w:r w:rsidRPr="00B41AA7">
        <w:rPr>
          <w:rFonts w:cs="Arial"/>
        </w:rPr>
        <w:t>As</w:t>
      </w:r>
      <w:r>
        <w:rPr>
          <w:rFonts w:cs="Arial"/>
        </w:rPr>
        <w:t>)</w:t>
      </w:r>
      <w:r w:rsidRPr="00B41AA7">
        <w:rPr>
          <w:rFonts w:cs="Arial"/>
        </w:rPr>
        <w:t xml:space="preserve"> </w:t>
      </w:r>
      <w:r w:rsidRPr="00B41AA7">
        <w:rPr>
          <w:rFonts w:cs="Arial"/>
          <w:color w:val="FF0000"/>
        </w:rPr>
        <w:t>(insert reference to appropriate section once decided)</w:t>
      </w:r>
      <w:r w:rsidRPr="00B41AA7">
        <w:rPr>
          <w:rFonts w:cs="Arial"/>
        </w:rPr>
        <w:t xml:space="preserve"> for different </w:t>
      </w:r>
      <w:r>
        <w:rPr>
          <w:rFonts w:cs="Arial"/>
        </w:rPr>
        <w:t>microbiology c</w:t>
      </w:r>
      <w:r w:rsidRPr="00B41AA7">
        <w:rPr>
          <w:rFonts w:cs="Arial"/>
        </w:rPr>
        <w:t>onsultant roles, it must be recognised that the number of dedicated PAs required to carry out the duties of the following combinations of roles will vary:</w:t>
      </w:r>
    </w:p>
    <w:p w:rsidR="009B5A38" w:rsidRPr="00DF43E4" w:rsidRDefault="009B5A38" w:rsidP="009B5A38">
      <w:pPr>
        <w:pStyle w:val="ListParagraph"/>
        <w:numPr>
          <w:ilvl w:val="0"/>
          <w:numId w:val="14"/>
        </w:numPr>
        <w:jc w:val="both"/>
        <w:rPr>
          <w:rFonts w:cs="Arial"/>
        </w:rPr>
      </w:pPr>
      <w:r w:rsidRPr="00DF43E4">
        <w:rPr>
          <w:rFonts w:cs="Arial"/>
        </w:rPr>
        <w:t>Lead ICD and DIPC (single acute site +/- community sites)</w:t>
      </w:r>
    </w:p>
    <w:p w:rsidR="009B5A38" w:rsidRPr="00DF43E4" w:rsidRDefault="009B5A38" w:rsidP="009B5A38">
      <w:pPr>
        <w:pStyle w:val="ListParagraph"/>
        <w:numPr>
          <w:ilvl w:val="0"/>
          <w:numId w:val="14"/>
        </w:numPr>
        <w:jc w:val="both"/>
        <w:rPr>
          <w:rFonts w:cs="Arial"/>
        </w:rPr>
      </w:pPr>
      <w:r w:rsidRPr="00DF43E4">
        <w:rPr>
          <w:rFonts w:cs="Arial"/>
        </w:rPr>
        <w:t>Lead ICD and DIPC (multiple acute sites +/- community sites)</w:t>
      </w:r>
    </w:p>
    <w:p w:rsidR="009B5A38" w:rsidRPr="00DF43E4" w:rsidRDefault="009B5A38" w:rsidP="009B5A38">
      <w:pPr>
        <w:pStyle w:val="ListParagraph"/>
        <w:numPr>
          <w:ilvl w:val="0"/>
          <w:numId w:val="14"/>
        </w:numPr>
        <w:jc w:val="both"/>
        <w:rPr>
          <w:rFonts w:cs="Arial"/>
        </w:rPr>
      </w:pPr>
      <w:r w:rsidRPr="00DF43E4">
        <w:rPr>
          <w:rFonts w:cs="Arial"/>
        </w:rPr>
        <w:t xml:space="preserve">Lead ICD supporting a non-Infection prevention </w:t>
      </w:r>
      <w:r>
        <w:rPr>
          <w:rFonts w:cs="Arial"/>
        </w:rPr>
        <w:t>and</w:t>
      </w:r>
      <w:r w:rsidRPr="00DF43E4">
        <w:rPr>
          <w:rFonts w:cs="Arial"/>
        </w:rPr>
        <w:t xml:space="preserve"> Control specialist DIPC</w:t>
      </w:r>
    </w:p>
    <w:p w:rsidR="009B5A38" w:rsidRPr="00DF43E4" w:rsidRDefault="009B5A38" w:rsidP="009B5A38">
      <w:pPr>
        <w:pStyle w:val="ListParagraph"/>
        <w:numPr>
          <w:ilvl w:val="0"/>
          <w:numId w:val="14"/>
        </w:numPr>
        <w:jc w:val="both"/>
        <w:rPr>
          <w:rFonts w:cs="Arial"/>
        </w:rPr>
      </w:pPr>
      <w:r w:rsidRPr="00DF43E4">
        <w:rPr>
          <w:rFonts w:cs="Arial"/>
        </w:rPr>
        <w:t>Lead ICD for multiple sites</w:t>
      </w:r>
    </w:p>
    <w:p w:rsidR="009B5A38" w:rsidRPr="00DF43E4" w:rsidRDefault="009B5A38" w:rsidP="009B5A38">
      <w:pPr>
        <w:pStyle w:val="ListParagraph"/>
        <w:numPr>
          <w:ilvl w:val="0"/>
          <w:numId w:val="14"/>
        </w:numPr>
        <w:jc w:val="both"/>
        <w:rPr>
          <w:rFonts w:cs="Arial"/>
        </w:rPr>
      </w:pPr>
      <w:r w:rsidRPr="00DF43E4">
        <w:rPr>
          <w:rFonts w:cs="Arial"/>
        </w:rPr>
        <w:t>ICD for a single site of a multi-site Trust where there is also a Lead ICD</w:t>
      </w:r>
    </w:p>
    <w:p w:rsidR="009B5A38" w:rsidRDefault="009B5A38" w:rsidP="009B5A38">
      <w:pPr>
        <w:pStyle w:val="Heading1"/>
      </w:pPr>
    </w:p>
    <w:p w:rsidR="009B5A38" w:rsidRPr="00B41AA7" w:rsidRDefault="009B5A38" w:rsidP="009B5A38">
      <w:pPr>
        <w:pStyle w:val="Heading1"/>
      </w:pPr>
      <w:r>
        <w:t xml:space="preserve">7.3 </w:t>
      </w:r>
      <w:r w:rsidRPr="00B41AA7">
        <w:t>Infection Control Doctor role</w:t>
      </w:r>
    </w:p>
    <w:p w:rsidR="009B5A38" w:rsidRPr="00B41AA7" w:rsidRDefault="009B5A38" w:rsidP="009B5A38">
      <w:pPr>
        <w:jc w:val="both"/>
        <w:rPr>
          <w:rFonts w:cs="Arial"/>
        </w:rPr>
      </w:pPr>
      <w:r w:rsidRPr="00B41AA7">
        <w:rPr>
          <w:rFonts w:cs="Arial"/>
        </w:rPr>
        <w:t xml:space="preserve">The </w:t>
      </w:r>
      <w:r w:rsidRPr="00DF43E4">
        <w:rPr>
          <w:rFonts w:cs="Arial"/>
        </w:rPr>
        <w:t>Infection Control Doctor (ICD)</w:t>
      </w:r>
      <w:r w:rsidRPr="00B41AA7">
        <w:rPr>
          <w:rFonts w:cs="Arial"/>
        </w:rPr>
        <w:t xml:space="preserve"> is primarily an operational role requiring dedicate PAs for both reactive and preventative duties. Due to the nature of the role, the reactive work is dependent on local issues requiring ICD input e.g. norovirus outbreak, Carbapenemase Producing Organism in inpatient, positive pseudomonas counts in augmented care unit water supply, possible Middle Eastern respiratory Syndrome Coronavirus or viral haemorrhagic fever in inpatient, MRSA bacteraemia or C.difficile infection case and is highly variable. Therefore there must be capacity within the Microbiology Department to allow for flexibility in the time required for the ICD role on a daily/weekly basis to allow for ICD response to acute incidents.</w:t>
      </w:r>
    </w:p>
    <w:p w:rsidR="009B5A38" w:rsidRPr="00DF43E4" w:rsidRDefault="009B5A38" w:rsidP="009B5A38">
      <w:pPr>
        <w:pStyle w:val="ListParagraph"/>
        <w:numPr>
          <w:ilvl w:val="0"/>
          <w:numId w:val="15"/>
        </w:numPr>
        <w:jc w:val="both"/>
        <w:rPr>
          <w:rFonts w:cs="Arial"/>
        </w:rPr>
      </w:pPr>
      <w:r w:rsidRPr="00DF43E4">
        <w:rPr>
          <w:rFonts w:cs="Arial"/>
        </w:rPr>
        <w:t xml:space="preserve">Provide the clinical lead for the Infection Prevention </w:t>
      </w:r>
      <w:r>
        <w:rPr>
          <w:rFonts w:cs="Arial"/>
        </w:rPr>
        <w:t>and</w:t>
      </w:r>
      <w:r w:rsidRPr="00DF43E4">
        <w:rPr>
          <w:rFonts w:cs="Arial"/>
        </w:rPr>
        <w:t xml:space="preserve"> Control Team (IPCT) in liaison with the Senior Infection Control Nurse </w:t>
      </w:r>
    </w:p>
    <w:p w:rsidR="009B5A38" w:rsidRPr="00DF43E4" w:rsidRDefault="009B5A38" w:rsidP="009B5A38">
      <w:pPr>
        <w:pStyle w:val="ListParagraph"/>
        <w:numPr>
          <w:ilvl w:val="0"/>
          <w:numId w:val="15"/>
        </w:numPr>
        <w:jc w:val="both"/>
        <w:rPr>
          <w:rFonts w:cs="Arial"/>
        </w:rPr>
      </w:pPr>
      <w:r w:rsidRPr="00DF43E4">
        <w:rPr>
          <w:rFonts w:cs="Arial"/>
        </w:rPr>
        <w:t>Liaison with Public Health England and Regional Epidemiology colleagues</w:t>
      </w:r>
    </w:p>
    <w:p w:rsidR="009B5A38" w:rsidRPr="00DF43E4" w:rsidRDefault="009B5A38" w:rsidP="009B5A38">
      <w:pPr>
        <w:pStyle w:val="ListParagraph"/>
        <w:numPr>
          <w:ilvl w:val="0"/>
          <w:numId w:val="15"/>
        </w:numPr>
        <w:jc w:val="both"/>
        <w:rPr>
          <w:rFonts w:cs="Arial"/>
        </w:rPr>
      </w:pPr>
      <w:r w:rsidRPr="00DF43E4">
        <w:rPr>
          <w:rFonts w:cs="Arial"/>
        </w:rPr>
        <w:t xml:space="preserve">Provide infection prevention </w:t>
      </w:r>
      <w:r>
        <w:rPr>
          <w:rFonts w:cs="Arial"/>
        </w:rPr>
        <w:t>and</w:t>
      </w:r>
      <w:r w:rsidRPr="00DF43E4">
        <w:rPr>
          <w:rFonts w:cs="Arial"/>
        </w:rPr>
        <w:t xml:space="preserve"> control advice for individual patients</w:t>
      </w:r>
    </w:p>
    <w:p w:rsidR="009B5A38" w:rsidRPr="00DF43E4" w:rsidRDefault="009B5A38" w:rsidP="009B5A38">
      <w:pPr>
        <w:pStyle w:val="ListParagraph"/>
        <w:numPr>
          <w:ilvl w:val="0"/>
          <w:numId w:val="15"/>
        </w:numPr>
        <w:jc w:val="both"/>
        <w:rPr>
          <w:rFonts w:cs="Arial"/>
        </w:rPr>
      </w:pPr>
      <w:r w:rsidRPr="00DF43E4">
        <w:rPr>
          <w:rFonts w:cs="Arial"/>
        </w:rPr>
        <w:lastRenderedPageBreak/>
        <w:t>Manage incident and outbreak situations; chair any relevant meetings and contribute to any resulting reports</w:t>
      </w:r>
    </w:p>
    <w:p w:rsidR="009B5A38" w:rsidRPr="00DF43E4" w:rsidRDefault="009B5A38" w:rsidP="009B5A38">
      <w:pPr>
        <w:pStyle w:val="ListParagraph"/>
        <w:numPr>
          <w:ilvl w:val="0"/>
          <w:numId w:val="15"/>
        </w:numPr>
        <w:jc w:val="both"/>
        <w:rPr>
          <w:rFonts w:cs="Arial"/>
        </w:rPr>
      </w:pPr>
      <w:r w:rsidRPr="00DF43E4">
        <w:rPr>
          <w:rFonts w:cs="Arial"/>
        </w:rPr>
        <w:t>Review surveillance data in liaison with the Infection Control Nurse Consultant both for acute action and to assess and prioritise areas for audits and action plans for risk minimisation</w:t>
      </w:r>
    </w:p>
    <w:p w:rsidR="009B5A38" w:rsidRPr="00DF43E4" w:rsidRDefault="009B5A38" w:rsidP="009B5A38">
      <w:pPr>
        <w:pStyle w:val="ListParagraph"/>
        <w:numPr>
          <w:ilvl w:val="0"/>
          <w:numId w:val="15"/>
        </w:numPr>
        <w:jc w:val="both"/>
        <w:rPr>
          <w:rFonts w:cs="Arial"/>
        </w:rPr>
      </w:pPr>
      <w:r w:rsidRPr="00DF43E4">
        <w:rPr>
          <w:rFonts w:cs="Arial"/>
        </w:rPr>
        <w:t>Report infection control-related adverse events e.g. hospital-acquired MRSA infections; venous catheter-related infections/bacteraemias; non-compliance with isolation policy</w:t>
      </w:r>
    </w:p>
    <w:p w:rsidR="009B5A38" w:rsidRPr="00DF43E4" w:rsidRDefault="009B5A38" w:rsidP="009B5A38">
      <w:pPr>
        <w:pStyle w:val="ListParagraph"/>
        <w:numPr>
          <w:ilvl w:val="0"/>
          <w:numId w:val="15"/>
        </w:numPr>
        <w:jc w:val="both"/>
        <w:rPr>
          <w:rFonts w:cs="Arial"/>
        </w:rPr>
      </w:pPr>
      <w:r w:rsidRPr="00DF43E4">
        <w:rPr>
          <w:rFonts w:cs="Arial"/>
        </w:rPr>
        <w:t>Provide expert advice for the root cause analysis and Post Infection Reviews (PIRs) of infection control aspects of adverse event and Serious Incident investigation (e.g. MRSA bacteraemias and all C.diff-related infections)</w:t>
      </w:r>
    </w:p>
    <w:p w:rsidR="009B5A38" w:rsidRPr="00DF43E4" w:rsidRDefault="009B5A38" w:rsidP="009B5A38">
      <w:pPr>
        <w:pStyle w:val="ListParagraph"/>
        <w:numPr>
          <w:ilvl w:val="0"/>
          <w:numId w:val="15"/>
        </w:numPr>
        <w:jc w:val="both"/>
        <w:rPr>
          <w:rFonts w:cs="Arial"/>
        </w:rPr>
      </w:pPr>
      <w:r w:rsidRPr="00DF43E4">
        <w:rPr>
          <w:rFonts w:cs="Arial"/>
        </w:rPr>
        <w:t>Provide expert advice for any infection-control related medico-legal issues</w:t>
      </w:r>
    </w:p>
    <w:p w:rsidR="009B5A38" w:rsidRPr="00DF43E4" w:rsidRDefault="009B5A38" w:rsidP="009B5A38">
      <w:pPr>
        <w:pStyle w:val="ListParagraph"/>
        <w:numPr>
          <w:ilvl w:val="0"/>
          <w:numId w:val="15"/>
        </w:numPr>
        <w:jc w:val="both"/>
        <w:rPr>
          <w:rFonts w:cs="Arial"/>
        </w:rPr>
      </w:pPr>
      <w:r w:rsidRPr="00DF43E4">
        <w:rPr>
          <w:rFonts w:cs="Arial"/>
        </w:rPr>
        <w:t xml:space="preserve">Review and provide clinical input for the Infection Prevention </w:t>
      </w:r>
      <w:r>
        <w:rPr>
          <w:rFonts w:cs="Arial"/>
        </w:rPr>
        <w:t>and</w:t>
      </w:r>
      <w:r w:rsidRPr="00DF43E4">
        <w:rPr>
          <w:rFonts w:cs="Arial"/>
        </w:rPr>
        <w:t xml:space="preserve"> Control policies</w:t>
      </w:r>
    </w:p>
    <w:p w:rsidR="009B5A38" w:rsidRPr="00DF43E4" w:rsidRDefault="009B5A38" w:rsidP="009B5A38">
      <w:pPr>
        <w:pStyle w:val="ListParagraph"/>
        <w:numPr>
          <w:ilvl w:val="0"/>
          <w:numId w:val="15"/>
        </w:numPr>
        <w:jc w:val="both"/>
        <w:rPr>
          <w:rFonts w:cs="Arial"/>
        </w:rPr>
      </w:pPr>
      <w:r w:rsidRPr="00DF43E4">
        <w:rPr>
          <w:rFonts w:cs="Arial"/>
        </w:rPr>
        <w:t xml:space="preserve">Review infection-control related issues for new builds/rebuilds/change of use of facilities and, in liaison with the Infection Control Nurse Consultant, ensure that all building projects have Infection </w:t>
      </w:r>
      <w:r>
        <w:rPr>
          <w:rFonts w:cs="Arial"/>
        </w:rPr>
        <w:t>Prevention and</w:t>
      </w:r>
      <w:r w:rsidRPr="00DF43E4">
        <w:rPr>
          <w:rFonts w:cs="Arial"/>
        </w:rPr>
        <w:t xml:space="preserve"> Control team sign-off before any work commences</w:t>
      </w:r>
    </w:p>
    <w:p w:rsidR="009B5A38" w:rsidRPr="00DF43E4" w:rsidRDefault="009B5A38" w:rsidP="009B5A38">
      <w:pPr>
        <w:pStyle w:val="ListParagraph"/>
        <w:numPr>
          <w:ilvl w:val="0"/>
          <w:numId w:val="15"/>
        </w:numPr>
        <w:jc w:val="both"/>
        <w:rPr>
          <w:rFonts w:cs="Arial"/>
        </w:rPr>
      </w:pPr>
      <w:r w:rsidRPr="00DF43E4">
        <w:rPr>
          <w:rFonts w:cs="Arial"/>
        </w:rPr>
        <w:t xml:space="preserve">Attend (and Chair as appropriate) regularly Infection Prevention </w:t>
      </w:r>
      <w:r>
        <w:rPr>
          <w:rFonts w:cs="Arial"/>
        </w:rPr>
        <w:t>and</w:t>
      </w:r>
      <w:r w:rsidRPr="00DF43E4">
        <w:rPr>
          <w:rFonts w:cs="Arial"/>
        </w:rPr>
        <w:t xml:space="preserve"> Control meetings e.g. weekly team briefing meetings, monthly Infection Prevention </w:t>
      </w:r>
      <w:r>
        <w:rPr>
          <w:rFonts w:cs="Arial"/>
        </w:rPr>
        <w:t>and</w:t>
      </w:r>
      <w:r w:rsidRPr="00DF43E4">
        <w:rPr>
          <w:rFonts w:cs="Arial"/>
        </w:rPr>
        <w:t xml:space="preserve"> Control Team meetings, Infection Control Committee meetings, Water Safety Group meetings </w:t>
      </w:r>
    </w:p>
    <w:p w:rsidR="009B5A38" w:rsidRPr="00DF43E4" w:rsidRDefault="009B5A38" w:rsidP="009B5A38">
      <w:pPr>
        <w:pStyle w:val="ListParagraph"/>
        <w:numPr>
          <w:ilvl w:val="0"/>
          <w:numId w:val="15"/>
        </w:numPr>
        <w:jc w:val="both"/>
        <w:rPr>
          <w:rFonts w:cs="Arial"/>
        </w:rPr>
      </w:pPr>
      <w:r w:rsidRPr="00DF43E4">
        <w:rPr>
          <w:rFonts w:cs="Arial"/>
        </w:rPr>
        <w:t>Conduct regular (weekly) joint C.difficile ward rounds as per Department of Health guidance</w:t>
      </w:r>
    </w:p>
    <w:p w:rsidR="009B5A38" w:rsidRPr="00DF43E4" w:rsidRDefault="009B5A38" w:rsidP="009B5A38">
      <w:pPr>
        <w:pStyle w:val="ListParagraph"/>
        <w:numPr>
          <w:ilvl w:val="0"/>
          <w:numId w:val="15"/>
        </w:numPr>
        <w:jc w:val="both"/>
        <w:rPr>
          <w:rFonts w:cs="Arial"/>
        </w:rPr>
      </w:pPr>
      <w:r w:rsidRPr="00DF43E4">
        <w:rPr>
          <w:rFonts w:cs="Arial"/>
        </w:rPr>
        <w:t>Provide expert input to Trust Pandemic Flu Planning and other infection control related Emergency planning issues.</w:t>
      </w:r>
    </w:p>
    <w:p w:rsidR="009B5A38" w:rsidRPr="00DF43E4" w:rsidRDefault="009B5A38" w:rsidP="009B5A38">
      <w:pPr>
        <w:pStyle w:val="ListParagraph"/>
        <w:numPr>
          <w:ilvl w:val="0"/>
          <w:numId w:val="15"/>
        </w:numPr>
        <w:jc w:val="both"/>
        <w:rPr>
          <w:rFonts w:cs="Arial"/>
        </w:rPr>
      </w:pPr>
      <w:r w:rsidRPr="00DF43E4">
        <w:rPr>
          <w:rFonts w:cs="Arial"/>
        </w:rPr>
        <w:t xml:space="preserve">Provide input for multi-disciplinary Infection Prevention </w:t>
      </w:r>
      <w:r>
        <w:rPr>
          <w:rFonts w:cs="Arial"/>
        </w:rPr>
        <w:t>and</w:t>
      </w:r>
      <w:r w:rsidRPr="00DF43E4">
        <w:rPr>
          <w:rFonts w:cs="Arial"/>
        </w:rPr>
        <w:t xml:space="preserve"> Control teaching e.g. monthly induction for new doctors, infection control link practitioner study days</w:t>
      </w:r>
    </w:p>
    <w:p w:rsidR="009B5A38" w:rsidRPr="00DF43E4" w:rsidRDefault="009B5A38" w:rsidP="009B5A38">
      <w:pPr>
        <w:pStyle w:val="ListParagraph"/>
        <w:numPr>
          <w:ilvl w:val="0"/>
          <w:numId w:val="15"/>
        </w:numPr>
        <w:jc w:val="both"/>
        <w:rPr>
          <w:rFonts w:cs="Arial"/>
        </w:rPr>
      </w:pPr>
      <w:r w:rsidRPr="00DF43E4">
        <w:rPr>
          <w:rFonts w:cs="Arial"/>
        </w:rPr>
        <w:t xml:space="preserve">Local and national surveillance-related duties e.g. web-based monthly mandatory surveillance data for MRSA bacteraemias, C.difficile toxin positive isolates, MSSA bacteraemias, E.coli bacteraemias and any other mandatory surveillance data e.g. quarterly GRE bacteraemia data as requested by the PHE, DoH etc.; monthly Infection Control Balanced Score card for the Trust Board </w:t>
      </w:r>
    </w:p>
    <w:p w:rsidR="009B5A38" w:rsidRPr="00DF43E4" w:rsidRDefault="009B5A38" w:rsidP="009B5A38">
      <w:pPr>
        <w:pStyle w:val="ListParagraph"/>
        <w:numPr>
          <w:ilvl w:val="0"/>
          <w:numId w:val="15"/>
        </w:numPr>
        <w:jc w:val="both"/>
        <w:rPr>
          <w:rFonts w:cs="Arial"/>
        </w:rPr>
      </w:pPr>
      <w:r w:rsidRPr="00DF43E4">
        <w:rPr>
          <w:rFonts w:cs="Arial"/>
        </w:rPr>
        <w:t>Antimicrobial stewardship role</w:t>
      </w:r>
    </w:p>
    <w:p w:rsidR="009B5A38" w:rsidRPr="00DF43E4" w:rsidRDefault="009B5A38" w:rsidP="009B5A38">
      <w:pPr>
        <w:pStyle w:val="ListParagraph"/>
        <w:numPr>
          <w:ilvl w:val="0"/>
          <w:numId w:val="15"/>
        </w:numPr>
        <w:jc w:val="both"/>
        <w:rPr>
          <w:rFonts w:cs="Arial"/>
        </w:rPr>
      </w:pPr>
      <w:r w:rsidRPr="00DF43E4">
        <w:rPr>
          <w:rFonts w:cs="Arial"/>
        </w:rPr>
        <w:t>Respond to Freedom of Information enquiries (in liaison with Lead ICN)</w:t>
      </w:r>
    </w:p>
    <w:p w:rsidR="009B5A38" w:rsidRPr="00DF43E4" w:rsidRDefault="009B5A38" w:rsidP="009B5A38">
      <w:pPr>
        <w:pStyle w:val="ListParagraph"/>
        <w:numPr>
          <w:ilvl w:val="0"/>
          <w:numId w:val="15"/>
        </w:numPr>
        <w:jc w:val="both"/>
        <w:rPr>
          <w:rFonts w:cs="Arial"/>
        </w:rPr>
      </w:pPr>
      <w:r w:rsidRPr="00DF43E4">
        <w:rPr>
          <w:rFonts w:cs="Arial"/>
        </w:rPr>
        <w:t>Other advisory roles e.g. procedures for decontamination of medical devices; hospital environment issues</w:t>
      </w:r>
    </w:p>
    <w:p w:rsidR="009B5A38" w:rsidRPr="00DF43E4" w:rsidRDefault="009B5A38" w:rsidP="009B5A38">
      <w:pPr>
        <w:pStyle w:val="ListParagraph"/>
        <w:numPr>
          <w:ilvl w:val="0"/>
          <w:numId w:val="15"/>
        </w:numPr>
        <w:jc w:val="both"/>
        <w:rPr>
          <w:rFonts w:cs="Arial"/>
        </w:rPr>
      </w:pPr>
      <w:r w:rsidRPr="00DF43E4">
        <w:rPr>
          <w:rFonts w:cs="Arial"/>
        </w:rPr>
        <w:t>Provide ICD cover for the Trust Community sites (if applicable)</w:t>
      </w:r>
    </w:p>
    <w:p w:rsidR="009B5A38" w:rsidRPr="00DF43E4" w:rsidRDefault="009B5A38" w:rsidP="009B5A38">
      <w:pPr>
        <w:pStyle w:val="ListParagraph"/>
        <w:numPr>
          <w:ilvl w:val="0"/>
          <w:numId w:val="15"/>
        </w:numPr>
        <w:jc w:val="both"/>
        <w:rPr>
          <w:rFonts w:cs="Arial"/>
        </w:rPr>
      </w:pPr>
      <w:r w:rsidRPr="00DF43E4">
        <w:rPr>
          <w:rFonts w:cs="Arial"/>
        </w:rPr>
        <w:t>Provide ICD cover to a community services provider and /or primary care Trust via a Service Level Agreement (if applicable)</w:t>
      </w:r>
    </w:p>
    <w:p w:rsidR="009B5A38" w:rsidRPr="00DF43E4" w:rsidRDefault="009B5A38" w:rsidP="009B5A38">
      <w:pPr>
        <w:pStyle w:val="ListParagraph"/>
        <w:numPr>
          <w:ilvl w:val="0"/>
          <w:numId w:val="15"/>
        </w:numPr>
        <w:jc w:val="both"/>
        <w:rPr>
          <w:rFonts w:cs="Arial"/>
        </w:rPr>
      </w:pPr>
      <w:r w:rsidRPr="00DF43E4">
        <w:rPr>
          <w:rFonts w:cs="Arial"/>
        </w:rPr>
        <w:t>Undertake the managerial responsibilities of Lead ICD (full time role) for a multi-site Trust with individual site ICDs for each acute site undertaking the reactive ICD duties</w:t>
      </w:r>
    </w:p>
    <w:p w:rsidR="009B5A38" w:rsidRPr="00B41AA7" w:rsidRDefault="009B5A38" w:rsidP="009B5A38">
      <w:pPr>
        <w:jc w:val="both"/>
        <w:rPr>
          <w:rFonts w:cs="Arial"/>
        </w:rPr>
      </w:pPr>
    </w:p>
    <w:p w:rsidR="009B5A38" w:rsidRPr="00B41AA7" w:rsidRDefault="009B5A38" w:rsidP="009B5A38">
      <w:pPr>
        <w:pStyle w:val="Heading1"/>
      </w:pPr>
      <w:r>
        <w:t>7.4</w:t>
      </w:r>
      <w:r w:rsidRPr="00B41AA7">
        <w:t>. Director of Infection Prevention and Control (DIPC) role</w:t>
      </w:r>
    </w:p>
    <w:p w:rsidR="009B5A38" w:rsidRPr="00B41AA7" w:rsidRDefault="009B5A38" w:rsidP="009B5A38">
      <w:pPr>
        <w:jc w:val="both"/>
        <w:rPr>
          <w:rFonts w:cs="Arial"/>
        </w:rPr>
      </w:pPr>
      <w:r w:rsidRPr="00B41AA7">
        <w:rPr>
          <w:rFonts w:cs="Arial"/>
        </w:rPr>
        <w:t xml:space="preserve">There is significant overlap between the roles of Infection Control Doctor and Director of Infection Prevention and Control. The </w:t>
      </w:r>
      <w:r w:rsidRPr="00DF43E4">
        <w:rPr>
          <w:rFonts w:cs="Arial"/>
        </w:rPr>
        <w:t>Director of Infection Prevention and Control</w:t>
      </w:r>
      <w:r w:rsidRPr="00B41AA7">
        <w:rPr>
          <w:rFonts w:cs="Arial"/>
        </w:rPr>
        <w:t xml:space="preserve"> role is primarily a strategic senior managerial role where the post holder requires </w:t>
      </w:r>
      <w:r w:rsidRPr="00B41AA7">
        <w:rPr>
          <w:rFonts w:cs="Arial"/>
        </w:rPr>
        <w:lastRenderedPageBreak/>
        <w:t>dedicated time to undertake the following duties. These duties will require liaison with the ICD if the two roles are not undertaken by the same individual:</w:t>
      </w:r>
    </w:p>
    <w:p w:rsidR="009B5A38" w:rsidRPr="00B41AA7" w:rsidRDefault="009B5A38" w:rsidP="009B5A38">
      <w:pPr>
        <w:numPr>
          <w:ilvl w:val="0"/>
          <w:numId w:val="16"/>
        </w:numPr>
        <w:ind w:left="1066" w:hanging="357"/>
        <w:jc w:val="both"/>
        <w:rPr>
          <w:rFonts w:cs="Arial"/>
        </w:rPr>
      </w:pPr>
      <w:r w:rsidRPr="00B41AA7">
        <w:rPr>
          <w:rFonts w:cs="Arial"/>
        </w:rPr>
        <w:t>Take strategic responsibility for creating and championing a corporate environment where infection control and the responsibility for the minimisation of Healthcare Associated infections (HCAIs) is everybody’s responsibility from ward to board and that the requirements of the Healthcare Act (Hygiene Code) are fulfilled.</w:t>
      </w:r>
    </w:p>
    <w:p w:rsidR="009B5A38" w:rsidRPr="00B41AA7" w:rsidRDefault="009B5A38" w:rsidP="009B5A38">
      <w:pPr>
        <w:numPr>
          <w:ilvl w:val="0"/>
          <w:numId w:val="16"/>
        </w:numPr>
        <w:ind w:left="1066" w:hanging="357"/>
        <w:jc w:val="both"/>
        <w:rPr>
          <w:rFonts w:cs="Arial"/>
        </w:rPr>
      </w:pPr>
      <w:r w:rsidRPr="00B41AA7">
        <w:rPr>
          <w:rFonts w:cs="Arial"/>
        </w:rPr>
        <w:t>Oversee local control of infection policies and their implementation</w:t>
      </w:r>
    </w:p>
    <w:p w:rsidR="009B5A38" w:rsidRPr="00B41AA7" w:rsidRDefault="009B5A38" w:rsidP="009B5A38">
      <w:pPr>
        <w:numPr>
          <w:ilvl w:val="0"/>
          <w:numId w:val="16"/>
        </w:numPr>
        <w:ind w:left="1066" w:hanging="357"/>
        <w:jc w:val="both"/>
        <w:rPr>
          <w:rFonts w:cs="Arial"/>
        </w:rPr>
      </w:pPr>
      <w:r w:rsidRPr="00B41AA7">
        <w:rPr>
          <w:rFonts w:cs="Arial"/>
        </w:rPr>
        <w:t>Be responsible for the IPCT within the healthcare organisation</w:t>
      </w:r>
    </w:p>
    <w:p w:rsidR="009B5A38" w:rsidRPr="00B41AA7" w:rsidRDefault="009B5A38" w:rsidP="009B5A38">
      <w:pPr>
        <w:numPr>
          <w:ilvl w:val="0"/>
          <w:numId w:val="16"/>
        </w:numPr>
        <w:ind w:left="1066" w:hanging="357"/>
        <w:jc w:val="both"/>
        <w:rPr>
          <w:rFonts w:cs="Arial"/>
        </w:rPr>
      </w:pPr>
      <w:r w:rsidRPr="00B41AA7">
        <w:rPr>
          <w:rFonts w:cs="Arial"/>
        </w:rPr>
        <w:t>Report directly to the Chief Executive and the Board (and not through any other officer) e.g. monthly DIPC:CEO 1:1 meeting</w:t>
      </w:r>
    </w:p>
    <w:p w:rsidR="009B5A38" w:rsidRPr="00B41AA7" w:rsidRDefault="009B5A38" w:rsidP="009B5A38">
      <w:pPr>
        <w:numPr>
          <w:ilvl w:val="0"/>
          <w:numId w:val="16"/>
        </w:numPr>
        <w:jc w:val="both"/>
        <w:rPr>
          <w:rFonts w:cs="Arial"/>
        </w:rPr>
      </w:pPr>
      <w:r w:rsidRPr="00B41AA7">
        <w:rPr>
          <w:rFonts w:cs="Arial"/>
        </w:rPr>
        <w:t xml:space="preserve">Have the responsibility to challenge inappropriate clinical hygiene practices </w:t>
      </w:r>
      <w:r>
        <w:rPr>
          <w:rFonts w:cs="Arial"/>
        </w:rPr>
        <w:t>and</w:t>
      </w:r>
      <w:r w:rsidRPr="00B41AA7">
        <w:rPr>
          <w:rFonts w:cs="Arial"/>
        </w:rPr>
        <w:t xml:space="preserve"> antibiotic prescribing decisions and champion good antimicrobial stewardship practices (in liaison with the ICD)</w:t>
      </w:r>
    </w:p>
    <w:p w:rsidR="009B5A38" w:rsidRPr="00B41AA7" w:rsidRDefault="009B5A38" w:rsidP="009B5A38">
      <w:pPr>
        <w:numPr>
          <w:ilvl w:val="0"/>
          <w:numId w:val="16"/>
        </w:numPr>
        <w:jc w:val="both"/>
        <w:rPr>
          <w:rFonts w:cs="Arial"/>
        </w:rPr>
      </w:pPr>
      <w:r w:rsidRPr="00B41AA7">
        <w:rPr>
          <w:rFonts w:cs="Arial"/>
        </w:rPr>
        <w:t xml:space="preserve">Assess the impact of all new and existing policies and plans on infection prevention </w:t>
      </w:r>
      <w:r>
        <w:rPr>
          <w:rFonts w:cs="Arial"/>
        </w:rPr>
        <w:t>and</w:t>
      </w:r>
      <w:r w:rsidRPr="00B41AA7">
        <w:rPr>
          <w:rFonts w:cs="Arial"/>
        </w:rPr>
        <w:t xml:space="preserve"> control and make recommendations for change as required (in liaison with the ICD)</w:t>
      </w:r>
    </w:p>
    <w:p w:rsidR="009B5A38" w:rsidRPr="00B41AA7" w:rsidRDefault="009B5A38" w:rsidP="009B5A38">
      <w:pPr>
        <w:numPr>
          <w:ilvl w:val="0"/>
          <w:numId w:val="16"/>
        </w:numPr>
        <w:jc w:val="both"/>
        <w:rPr>
          <w:rFonts w:cs="Arial"/>
        </w:rPr>
      </w:pPr>
      <w:r w:rsidRPr="00B41AA7">
        <w:rPr>
          <w:rFonts w:cs="Arial"/>
        </w:rPr>
        <w:t>Be an integral member of the organisation’s clinical governance and patient safety teams and structures and sit on appropriate committees within the Trust</w:t>
      </w:r>
    </w:p>
    <w:p w:rsidR="009B5A38" w:rsidRPr="00B41AA7" w:rsidRDefault="009B5A38" w:rsidP="009B5A38">
      <w:pPr>
        <w:pStyle w:val="BodyText"/>
        <w:numPr>
          <w:ilvl w:val="0"/>
          <w:numId w:val="16"/>
        </w:numPr>
        <w:jc w:val="both"/>
        <w:rPr>
          <w:rFonts w:ascii="Arial" w:hAnsi="Arial" w:cs="Arial"/>
          <w:szCs w:val="22"/>
          <w:lang w:val="en-US"/>
        </w:rPr>
      </w:pPr>
      <w:r w:rsidRPr="00B41AA7">
        <w:rPr>
          <w:rFonts w:ascii="Arial" w:hAnsi="Arial" w:cs="Arial"/>
          <w:szCs w:val="22"/>
          <w:lang w:val="en-US"/>
        </w:rPr>
        <w:t>Produce a quarterly DIPC report summarising Infection Prevention and Control issues for the last quarter (including MRSA and C.diff target data and a summary of the Infection Control Committee meeting) for the Trust Board</w:t>
      </w:r>
    </w:p>
    <w:p w:rsidR="009B5A38" w:rsidRPr="00B41AA7" w:rsidRDefault="009B5A38" w:rsidP="009B5A38">
      <w:pPr>
        <w:numPr>
          <w:ilvl w:val="0"/>
          <w:numId w:val="16"/>
        </w:numPr>
        <w:jc w:val="both"/>
        <w:rPr>
          <w:rFonts w:cs="Arial"/>
        </w:rPr>
      </w:pPr>
      <w:r w:rsidRPr="00B41AA7">
        <w:rPr>
          <w:rFonts w:cs="Arial"/>
        </w:rPr>
        <w:t xml:space="preserve">Produce an annual report on the state of healthcare associated infections and other Infection Prevention </w:t>
      </w:r>
      <w:r>
        <w:rPr>
          <w:rFonts w:cs="Arial"/>
        </w:rPr>
        <w:t>and</w:t>
      </w:r>
      <w:r w:rsidRPr="00B41AA7">
        <w:rPr>
          <w:rFonts w:cs="Arial"/>
        </w:rPr>
        <w:t xml:space="preserve"> Control-related issues  in the organisation, present this report to the Trust Board of Directors (or equivalent) in person and release the report publicly e.g. on Trust website (in liaison with the ICD)</w:t>
      </w:r>
    </w:p>
    <w:p w:rsidR="009B5A38" w:rsidRPr="00B41AA7" w:rsidRDefault="009B5A38" w:rsidP="009B5A38">
      <w:pPr>
        <w:pStyle w:val="BodyText"/>
        <w:numPr>
          <w:ilvl w:val="0"/>
          <w:numId w:val="16"/>
        </w:numPr>
        <w:jc w:val="both"/>
        <w:rPr>
          <w:rFonts w:ascii="Arial" w:hAnsi="Arial" w:cs="Arial"/>
          <w:szCs w:val="22"/>
          <w:lang w:val="en-US"/>
        </w:rPr>
      </w:pPr>
      <w:r w:rsidRPr="00B41AA7">
        <w:rPr>
          <w:rFonts w:ascii="Arial" w:hAnsi="Arial" w:cs="Arial"/>
          <w:szCs w:val="22"/>
          <w:lang w:val="en-US"/>
        </w:rPr>
        <w:t>Facilitate and help the Trust to achieve all infection prevention and control related targets e.g. MRSA bacteraemia target, C. diff target and liaise with the IPCT to ensure that any risk factors identified by e.g. positive MRSA bacteraemia PIRs are addressed promptly to minimise the risk of future cases</w:t>
      </w:r>
    </w:p>
    <w:p w:rsidR="009B5A38" w:rsidRPr="00B41AA7" w:rsidRDefault="009B5A38" w:rsidP="009B5A38">
      <w:pPr>
        <w:pStyle w:val="BodyText"/>
        <w:numPr>
          <w:ilvl w:val="0"/>
          <w:numId w:val="16"/>
        </w:numPr>
        <w:jc w:val="both"/>
        <w:rPr>
          <w:rFonts w:ascii="Arial" w:hAnsi="Arial" w:cs="Arial"/>
          <w:szCs w:val="22"/>
          <w:lang w:val="en-US"/>
        </w:rPr>
      </w:pPr>
      <w:r w:rsidRPr="00B41AA7">
        <w:rPr>
          <w:rFonts w:ascii="Arial" w:hAnsi="Arial" w:cs="Arial"/>
          <w:szCs w:val="22"/>
          <w:lang w:val="en-US"/>
        </w:rPr>
        <w:t>Liaise with other DIPCs in the region e.g. attend regional DIPC forum meetings</w:t>
      </w:r>
    </w:p>
    <w:p w:rsidR="009B5A38" w:rsidRPr="00B41AA7" w:rsidRDefault="009B5A38" w:rsidP="009B5A38">
      <w:pPr>
        <w:numPr>
          <w:ilvl w:val="0"/>
          <w:numId w:val="16"/>
        </w:numPr>
        <w:jc w:val="both"/>
        <w:rPr>
          <w:rFonts w:cs="Arial"/>
        </w:rPr>
      </w:pPr>
      <w:r w:rsidRPr="00B41AA7">
        <w:rPr>
          <w:rFonts w:cs="Arial"/>
          <w:lang w:val="en-US"/>
        </w:rPr>
        <w:t xml:space="preserve">Advocate for the provision of necessary resources to enable the IPC team to carry out their role effectively </w:t>
      </w:r>
      <w:r w:rsidRPr="00B41AA7">
        <w:rPr>
          <w:rFonts w:cs="Arial"/>
        </w:rPr>
        <w:t>(in liaison with the ICD)</w:t>
      </w:r>
    </w:p>
    <w:p w:rsidR="009B5A38" w:rsidRPr="00B41AA7" w:rsidRDefault="009B5A38" w:rsidP="009B5A38">
      <w:pPr>
        <w:numPr>
          <w:ilvl w:val="0"/>
          <w:numId w:val="16"/>
        </w:numPr>
        <w:jc w:val="both"/>
        <w:rPr>
          <w:rFonts w:cs="Arial"/>
        </w:rPr>
      </w:pPr>
      <w:r w:rsidRPr="00B41AA7">
        <w:rPr>
          <w:rFonts w:cs="Arial"/>
        </w:rPr>
        <w:t>Provide DIPC cover for the Trust Community sites (if applicable)</w:t>
      </w:r>
    </w:p>
    <w:p w:rsidR="009B5A38" w:rsidRPr="00B41AA7" w:rsidRDefault="009B5A38" w:rsidP="009B5A38">
      <w:pPr>
        <w:numPr>
          <w:ilvl w:val="0"/>
          <w:numId w:val="16"/>
        </w:numPr>
        <w:jc w:val="both"/>
        <w:rPr>
          <w:rFonts w:cs="Arial"/>
        </w:rPr>
      </w:pPr>
      <w:r w:rsidRPr="00B41AA7">
        <w:rPr>
          <w:rFonts w:cs="Arial"/>
        </w:rPr>
        <w:t>Provide DIPC cover to a community services provider and/or primary care Trust via a Service Level Agreement (if applicable)</w:t>
      </w:r>
    </w:p>
    <w:p w:rsidR="009B5A38" w:rsidRPr="00B41AA7" w:rsidRDefault="009B5A38" w:rsidP="009B5A38">
      <w:pPr>
        <w:jc w:val="both"/>
        <w:rPr>
          <w:rFonts w:cs="Arial"/>
        </w:rPr>
      </w:pPr>
    </w:p>
    <w:p w:rsidR="009B5A38" w:rsidRPr="003E3DC8" w:rsidRDefault="009B5A38" w:rsidP="009B5A38">
      <w:pPr>
        <w:rPr>
          <w:rFonts w:cs="Arial"/>
        </w:rPr>
      </w:pPr>
    </w:p>
    <w:p w:rsidR="009B5A38" w:rsidRPr="00914B35" w:rsidRDefault="009B5A38" w:rsidP="009B5A38">
      <w:pPr>
        <w:rPr>
          <w:rFonts w:cs="Arial"/>
          <w:b/>
          <w:sz w:val="24"/>
          <w:szCs w:val="24"/>
          <w:highlight w:val="yellow"/>
          <w:lang w:val="en-US"/>
        </w:rPr>
      </w:pPr>
      <w:r w:rsidRPr="00914B35">
        <w:rPr>
          <w:rFonts w:cs="Arial"/>
          <w:b/>
          <w:sz w:val="24"/>
          <w:szCs w:val="24"/>
          <w:highlight w:val="yellow"/>
        </w:rPr>
        <w:t>8</w:t>
      </w:r>
      <w:r w:rsidRPr="00914B35">
        <w:rPr>
          <w:rFonts w:cs="Arial"/>
          <w:b/>
          <w:sz w:val="24"/>
          <w:szCs w:val="24"/>
          <w:highlight w:val="yellow"/>
        </w:rPr>
        <w:tab/>
      </w:r>
      <w:r w:rsidRPr="00914B35">
        <w:rPr>
          <w:rFonts w:cs="Arial"/>
          <w:b/>
          <w:sz w:val="24"/>
          <w:szCs w:val="24"/>
          <w:highlight w:val="yellow"/>
          <w:lang w:val="en-US"/>
        </w:rPr>
        <w:t>Virology</w:t>
      </w:r>
    </w:p>
    <w:p w:rsidR="009B5A38" w:rsidRPr="00914B35" w:rsidRDefault="009B5A38" w:rsidP="009B5A38">
      <w:pPr>
        <w:rPr>
          <w:rFonts w:cs="Arial"/>
          <w:highlight w:val="yellow"/>
        </w:rPr>
      </w:pPr>
    </w:p>
    <w:p w:rsidR="009B5A38" w:rsidRPr="00914B35" w:rsidRDefault="009B5A38" w:rsidP="009B5A38">
      <w:pPr>
        <w:rPr>
          <w:rFonts w:cs="Arial"/>
          <w:highlight w:val="yellow"/>
        </w:rPr>
      </w:pPr>
    </w:p>
    <w:p w:rsidR="009B5A38" w:rsidRPr="00914B35" w:rsidRDefault="009B5A38" w:rsidP="009B5A38">
      <w:pPr>
        <w:rPr>
          <w:rFonts w:cs="Arial"/>
          <w:highlight w:val="yellow"/>
        </w:rPr>
      </w:pPr>
    </w:p>
    <w:p w:rsidR="009B5A38" w:rsidRPr="00914B35" w:rsidRDefault="009B5A38" w:rsidP="009B5A38">
      <w:pPr>
        <w:rPr>
          <w:rFonts w:cs="Arial"/>
          <w:b/>
          <w:sz w:val="24"/>
          <w:szCs w:val="24"/>
          <w:highlight w:val="yellow"/>
          <w:lang w:val="en-US"/>
        </w:rPr>
      </w:pPr>
      <w:r w:rsidRPr="00914B35">
        <w:rPr>
          <w:rFonts w:cs="Arial"/>
          <w:b/>
          <w:sz w:val="24"/>
          <w:szCs w:val="24"/>
          <w:highlight w:val="yellow"/>
        </w:rPr>
        <w:t>9</w:t>
      </w:r>
      <w:r w:rsidRPr="00914B35">
        <w:rPr>
          <w:rFonts w:cs="Arial"/>
          <w:b/>
          <w:sz w:val="24"/>
          <w:szCs w:val="24"/>
          <w:highlight w:val="yellow"/>
        </w:rPr>
        <w:tab/>
      </w:r>
      <w:r w:rsidRPr="00914B35">
        <w:rPr>
          <w:rFonts w:cs="Arial"/>
          <w:b/>
          <w:sz w:val="24"/>
          <w:szCs w:val="24"/>
          <w:highlight w:val="yellow"/>
          <w:lang w:val="en-US"/>
        </w:rPr>
        <w:t>Clinical Scientists</w:t>
      </w:r>
    </w:p>
    <w:p w:rsidR="009B5A38" w:rsidRDefault="009B5A38" w:rsidP="009B5A38">
      <w:pPr>
        <w:rPr>
          <w:rFonts w:cs="Arial"/>
          <w:highlight w:val="yellow"/>
        </w:rPr>
      </w:pPr>
    </w:p>
    <w:p w:rsidR="009B5A38" w:rsidRPr="00914B35" w:rsidRDefault="009B5A38" w:rsidP="009B5A38">
      <w:pPr>
        <w:rPr>
          <w:rFonts w:cs="Arial"/>
          <w:highlight w:val="yellow"/>
        </w:rPr>
      </w:pPr>
    </w:p>
    <w:p w:rsidR="009B5A38" w:rsidRDefault="009B5A38" w:rsidP="009B5A38">
      <w:pPr>
        <w:rPr>
          <w:rFonts w:cs="Arial"/>
          <w:highlight w:val="yellow"/>
        </w:rPr>
      </w:pPr>
    </w:p>
    <w:p w:rsidR="009B5A38" w:rsidRPr="00914B35" w:rsidRDefault="009B5A38" w:rsidP="009B5A38">
      <w:pPr>
        <w:rPr>
          <w:rFonts w:cs="Arial"/>
          <w:highlight w:val="yellow"/>
        </w:rPr>
      </w:pPr>
    </w:p>
    <w:p w:rsidR="009B5A38" w:rsidRPr="00914B35" w:rsidRDefault="009B5A38" w:rsidP="009B5A38">
      <w:pPr>
        <w:rPr>
          <w:rFonts w:cs="Arial"/>
          <w:highlight w:val="yellow"/>
        </w:rPr>
      </w:pPr>
    </w:p>
    <w:p w:rsidR="009B5A38" w:rsidRPr="003E3DC8" w:rsidRDefault="009B5A38" w:rsidP="009B5A38">
      <w:pPr>
        <w:rPr>
          <w:rFonts w:cs="Arial"/>
          <w:b/>
          <w:sz w:val="24"/>
          <w:szCs w:val="24"/>
          <w:lang w:val="en-US"/>
        </w:rPr>
      </w:pPr>
      <w:r w:rsidRPr="00914B35">
        <w:rPr>
          <w:rFonts w:cs="Arial"/>
          <w:b/>
          <w:sz w:val="24"/>
          <w:szCs w:val="24"/>
          <w:highlight w:val="yellow"/>
        </w:rPr>
        <w:t>1</w:t>
      </w:r>
      <w:r>
        <w:rPr>
          <w:rFonts w:cs="Arial"/>
          <w:b/>
          <w:sz w:val="24"/>
          <w:szCs w:val="24"/>
          <w:highlight w:val="yellow"/>
        </w:rPr>
        <w:t>0</w:t>
      </w:r>
      <w:r w:rsidRPr="00914B35">
        <w:rPr>
          <w:rFonts w:cs="Arial"/>
          <w:b/>
          <w:sz w:val="24"/>
          <w:szCs w:val="24"/>
          <w:highlight w:val="yellow"/>
        </w:rPr>
        <w:tab/>
      </w:r>
      <w:r w:rsidRPr="00914B35">
        <w:rPr>
          <w:rFonts w:cs="Arial"/>
          <w:b/>
          <w:sz w:val="24"/>
          <w:szCs w:val="24"/>
          <w:highlight w:val="yellow"/>
          <w:lang w:val="en-US"/>
        </w:rPr>
        <w:t>References</w:t>
      </w:r>
    </w:p>
    <w:p w:rsidR="009B5A38" w:rsidRDefault="009B5A38" w:rsidP="009B5A38">
      <w:pPr>
        <w:rPr>
          <w:rFonts w:cs="Arial"/>
        </w:rPr>
      </w:pPr>
    </w:p>
    <w:p w:rsidR="009B5A38" w:rsidRDefault="009B5A38" w:rsidP="009B5A38">
      <w:pPr>
        <w:rPr>
          <w:rFonts w:cs="Arial"/>
        </w:rPr>
      </w:pPr>
    </w:p>
    <w:p w:rsidR="009B5A38" w:rsidRDefault="009B5A38" w:rsidP="009B5A38">
      <w:pPr>
        <w:rPr>
          <w:rFonts w:cs="Arial"/>
        </w:rPr>
      </w:pPr>
    </w:p>
    <w:p w:rsidR="009B5A38" w:rsidRPr="003E3DC8" w:rsidRDefault="009B5A38" w:rsidP="009B5A38">
      <w:pPr>
        <w:rPr>
          <w:rFonts w:cs="Arial"/>
          <w:b/>
          <w:sz w:val="24"/>
          <w:szCs w:val="24"/>
          <w:lang w:val="en-US"/>
        </w:rPr>
      </w:pPr>
      <w:r w:rsidRPr="00914B35">
        <w:rPr>
          <w:rFonts w:cs="Arial"/>
          <w:b/>
          <w:sz w:val="24"/>
          <w:szCs w:val="24"/>
          <w:highlight w:val="yellow"/>
        </w:rPr>
        <w:t>1</w:t>
      </w:r>
      <w:r>
        <w:rPr>
          <w:rFonts w:cs="Arial"/>
          <w:b/>
          <w:sz w:val="24"/>
          <w:szCs w:val="24"/>
          <w:highlight w:val="yellow"/>
        </w:rPr>
        <w:t>1</w:t>
      </w:r>
      <w:r w:rsidRPr="00914B35">
        <w:rPr>
          <w:rFonts w:cs="Arial"/>
          <w:b/>
          <w:sz w:val="24"/>
          <w:szCs w:val="24"/>
          <w:highlight w:val="yellow"/>
        </w:rPr>
        <w:tab/>
      </w:r>
      <w:r w:rsidRPr="00914B35">
        <w:rPr>
          <w:rFonts w:cs="Arial"/>
          <w:b/>
          <w:sz w:val="24"/>
          <w:szCs w:val="24"/>
          <w:highlight w:val="yellow"/>
          <w:lang w:val="en-US"/>
        </w:rPr>
        <w:t>Acknowledgements</w:t>
      </w:r>
    </w:p>
    <w:p w:rsidR="009B5A38" w:rsidRDefault="009B5A38" w:rsidP="009B5A38">
      <w:pPr>
        <w:rPr>
          <w:rFonts w:cs="Arial"/>
        </w:rPr>
      </w:pPr>
    </w:p>
    <w:p w:rsidR="002452C6" w:rsidRDefault="002452C6">
      <w:pPr>
        <w:spacing w:before="0"/>
        <w:ind w:left="0"/>
      </w:pPr>
      <w:r>
        <w:br w:type="page"/>
      </w:r>
    </w:p>
    <w:p w:rsidR="00B978A0" w:rsidRDefault="002452C6" w:rsidP="002452C6">
      <w:pPr>
        <w:pStyle w:val="Caption"/>
      </w:pPr>
      <w:bookmarkStart w:id="1" w:name="_Ref486101145"/>
      <w:r>
        <w:lastRenderedPageBreak/>
        <w:t xml:space="preserve">Appendix </w:t>
      </w:r>
      <w:r w:rsidR="00113B4C">
        <w:fldChar w:fldCharType="begin"/>
      </w:r>
      <w:r w:rsidR="00113B4C">
        <w:instrText xml:space="preserve"> SEQ Appendix \* ARABIC </w:instrText>
      </w:r>
      <w:r w:rsidR="00113B4C">
        <w:fldChar w:fldCharType="separate"/>
      </w:r>
      <w:r w:rsidR="004E26A5">
        <w:rPr>
          <w:noProof/>
        </w:rPr>
        <w:t>1</w:t>
      </w:r>
      <w:r w:rsidR="00113B4C">
        <w:rPr>
          <w:noProof/>
        </w:rPr>
        <w:fldChar w:fldCharType="end"/>
      </w:r>
      <w:bookmarkEnd w:id="1"/>
    </w:p>
    <w:p w:rsidR="007C1059" w:rsidRDefault="002452C6" w:rsidP="002452C6">
      <w:r>
        <w:t>Details of process followed and membership of WG.</w:t>
      </w:r>
    </w:p>
    <w:p w:rsidR="001223A5" w:rsidRDefault="001223A5" w:rsidP="007C1059">
      <w:pPr>
        <w:sectPr w:rsidR="001223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1223A5" w:rsidRDefault="001223A5" w:rsidP="001223A5">
      <w:pPr>
        <w:pStyle w:val="Caption"/>
        <w:keepNext w:val="0"/>
      </w:pPr>
      <w:r>
        <w:lastRenderedPageBreak/>
        <w:t xml:space="preserve">Appendix </w:t>
      </w:r>
      <w:r w:rsidR="00113B4C">
        <w:fldChar w:fldCharType="begin"/>
      </w:r>
      <w:r w:rsidR="00113B4C">
        <w:instrText xml:space="preserve"> SEQ Appendix \* ARABIC </w:instrText>
      </w:r>
      <w:r w:rsidR="00113B4C">
        <w:fldChar w:fldCharType="separate"/>
      </w:r>
      <w:r w:rsidR="004E26A5">
        <w:rPr>
          <w:noProof/>
        </w:rPr>
        <w:t>2</w:t>
      </w:r>
      <w:r w:rsidR="00113B4C">
        <w:rPr>
          <w:noProof/>
        </w:rPr>
        <w:fldChar w:fldCharType="end"/>
      </w:r>
      <w:r>
        <w:t>: Service specification for microbiology departments prepared by the British Infection Association Clinical Services Committee</w:t>
      </w:r>
    </w:p>
    <w:p w:rsidR="001223A5" w:rsidRPr="004E26A5" w:rsidRDefault="001223A5" w:rsidP="00B31768">
      <w:pPr>
        <w:pStyle w:val="Default"/>
        <w:rPr>
          <w:rFonts w:ascii="Arial" w:hAnsi="Arial" w:cs="Arial"/>
          <w:b/>
          <w:bCs/>
          <w:sz w:val="23"/>
          <w:szCs w:val="23"/>
        </w:rPr>
      </w:pPr>
      <w:r w:rsidRPr="004E26A5">
        <w:rPr>
          <w:rFonts w:ascii="Arial" w:hAnsi="Arial" w:cs="Arial"/>
          <w:b/>
          <w:bCs/>
          <w:sz w:val="23"/>
          <w:szCs w:val="23"/>
        </w:rPr>
        <w:t>Service provided by Infection Departments</w:t>
      </w:r>
    </w:p>
    <w:p w:rsidR="001223A5" w:rsidRPr="004E26A5" w:rsidRDefault="001223A5" w:rsidP="00B31768">
      <w:pPr>
        <w:pStyle w:val="Default"/>
        <w:rPr>
          <w:rFonts w:ascii="Arial" w:hAnsi="Arial" w:cs="Arial"/>
          <w:b/>
          <w:bCs/>
          <w:sz w:val="23"/>
          <w:szCs w:val="23"/>
        </w:rPr>
      </w:pPr>
    </w:p>
    <w:p w:rsidR="001223A5" w:rsidRPr="004E26A5" w:rsidRDefault="001223A5" w:rsidP="00B31768">
      <w:pPr>
        <w:pStyle w:val="Default"/>
        <w:rPr>
          <w:rFonts w:ascii="Arial" w:hAnsi="Arial" w:cs="Arial"/>
          <w:b/>
          <w:bCs/>
          <w:sz w:val="23"/>
          <w:szCs w:val="23"/>
        </w:rPr>
      </w:pP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1.1 Infection services encompass a range of historically separate clinical specialties and diagnostic services which are integrated into routine clinical practice in acute hospital, community and general medical and dental practice settings. Current infection specialists include medical microbiologists, infectious disease (ID) physicians, paediatric ID physicians, infection control practitioners, oral microbiologists and public health physicians (including consultants in communicable disease control). Whilst distinct from clinical microbiology and infection teams, genito-urinary (GU) physicians also contribute to infection services. Doctors within each of these specialties may work in teaching hospitals, academic and research institutions, district general hospitals and in the community. Each currently has a different training and career pathway.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Over recent years, however, there has been increasing overlap and common interest between these separate clinical services. This has been reflected in a drive to bring training curricula together, whilst continuing to recognise the wide range of knowledge, skills and career diversity necessary to deliver the full scope of a modern infection service. The bringing together of Royal College training curricula and possibly a common ‘infection CCT’ (Certificate of Completion of Training) does not diminish the requirement for subsequent specialist diversification and acquisition of specialist knowledge and skills, but it does bring greater commonality of purpose, understanding and potential flexibility amongst infection specialists of the future.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1.2 We need to focus on the core components of infection services and the knowledge and skill sets required of doctors, nurses, scientists, antibiotic pharmacists, epidemiologists and others to deliver them. We need to consider how they can best be provided in the future, taking into account proposed reconfigurations of diagnostic (pathology) and clinical services, and taking advantage of new technological diagnostic developments and possibilities. Increased centralisation of pathology services will mean that not all hospitals will have on-site microbiology diagnostic services, although infection specialists (including medical microbiologists) will still be needed to provide a clinical service, liaising with remote facilities whilst maintaining clinical and strategic oversight over diagnostic processes.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1.3 Infection is a key issue in all clinical services and it must be seen as a core component to medical, dental and nursing undergraduate and postgraduate education at all levels. Antimicrobial agents are unique in that their use has public-health implications far beyond the treatment of individual patients. Modern medicine, dentistry and surgery are dependent on the ongoing availability of effective antibiotics, which can only be safeguarded through responsible antibiotic stewardship practised by all prescribers. The importance of ensuring proficiency in antibiotic prescribing is recognised and a series of competencies for prescribers is currently being developed.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1.4 Infection prevention and control is of paramount importance throughout the healthcare economy. All healthcare workers need to work to recognised standards of infection prevention and control practice, and the topic needs to be fully integrated into the training curricula of all staff. Knowledge and competencies need to be continually re-emphasised through mandatory training, ongoing practice needs to be monitored and outcomes kept under surveillance. The key role of microbiologists in detecting the emergence of antibiotic resistance within healthcare settings, and the detection and management of outbreaks within a multi-disciplinary team, also need to be recognised.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3"/>
          <w:szCs w:val="23"/>
        </w:rPr>
      </w:pPr>
      <w:r w:rsidRPr="004E26A5">
        <w:rPr>
          <w:rFonts w:ascii="Arial" w:hAnsi="Arial" w:cs="Arial"/>
          <w:b/>
          <w:bCs/>
          <w:sz w:val="23"/>
          <w:szCs w:val="23"/>
        </w:rPr>
        <w:t xml:space="preserve">2 Service specifications for infection services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2.1 Service specifications for infection services must be patient focussed and take into account local population requirements. They can be usefully divided into six main areas: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lastRenderedPageBreak/>
        <w:t xml:space="preserve"> health promotion (proactive disease prevention)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the clinical assessment, investigation and management of patients suspected of having infection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the pre-analytical, analytical and post-analytical phases of diagnostic work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infection control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public health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education and research.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It is important to emphasise that these areas are mutually dependent on each another; for example, strategic and professional stewardship of laboratory services must be directed by clinical need. Education, training and research are also key elements within all these areas, as is responsible antimicrobial stewardship and ensuring best use of budgetary and trained personnel resources.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The specification set out below is a collation of the many activities undertaken by infection specialists and a team of suitable qualified collaborating individuals will be required to deliver such a service. It is likely that future training of infection specialists will bring about greater commonality of purpose and greater career flexibility, but there will still be a need for sub-specialisation to fully meet the wide range of skills and services required. The Royal College of Pathologists supports the continued medical leadership of clinical, laboratory and infection control teams, bringing medical expertise to laboratory diagnostic stewardship and strategic planning.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2.2.1 Health promotion and disease prevention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Healthcare planning (emerging diseases, threat of bioterrorism, outbreak preparedness), informed by epidemiological knowledge.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Vaccination programmes (based on accurate surveillance data, demographic knowledge, etc.).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Occupational health services.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Education of the public – schools, media, etc. Avoidance of risk, self-protection (e.g. sexually transmitted disease, travel-related diseases, food and water-borne illness), recognition of serious disease (e.g. meningitis).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Support for public health and environmental health departments (clinical and laboratory surveillance, food and water testing, etc.).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Design and planning of healthcare premises, overseeing infection control implications of new equipment, safe systems for medical device decontamination and legionella control. </w:t>
      </w:r>
    </w:p>
    <w:p w:rsidR="001223A5" w:rsidRPr="004E26A5" w:rsidRDefault="001223A5" w:rsidP="00B31768">
      <w:pPr>
        <w:pStyle w:val="Default"/>
        <w:rPr>
          <w:rFonts w:ascii="Arial" w:hAnsi="Arial" w:cs="Arial"/>
          <w:sz w:val="20"/>
          <w:szCs w:val="20"/>
        </w:rPr>
      </w:pPr>
      <w:r w:rsidRPr="004E26A5">
        <w:rPr>
          <w:rFonts w:ascii="Arial" w:hAnsi="Arial" w:cs="Arial"/>
          <w:sz w:val="22"/>
          <w:szCs w:val="22"/>
        </w:rPr>
        <w:t xml:space="preserve"> Appropriate professional input into political decision making.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Expertise in assessing effectiveness of environmental decontamination technologies, new disinfectants.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2.2.2 Clinical assessment, investigation and management of patients suspected of having infection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Clinical assessment and management of infection – inpatient and outpatient referrals.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Development and ongoing support for outpatient/home antimicrobial therapy (OPAT).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Active participation in multi-disciplinary team (MDT) meetings to promote optimal management of patients with infection. Specialist teams may include respiratory (including tuberculosis), orthopaedics, blood-borne viruses, diabetes, urology, cardiology (for endocarditis), etc.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lastRenderedPageBreak/>
        <w:t xml:space="preserve"> Active promotion of disease recognition and prompt diagnosis (e.g. opportunistic testing of HIV and prompt referral of patients identified from screening programmes) to prevent onward transmission of disease.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Encouragement of shared databases to investigate optimal management of patients (e.g. recently launched endocarditis database).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Provision of specialist infectious disease clinical service as required by local population (may include paediatric specialist service or specific clinics – e.g. hepatitis, HIV).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Provision of tertiary infectious disease referral centres as required by commissioners.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Provision of GU medicine services as required by commissioners.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Training of other healthcare professionals to recognise infection, diagnose and manage appropriately. This includes medical, dental and nursing undergraduate and postgraduate education, in both hospital and general medical and dental practice settings.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Clinical microbiology support to hospital (including dental hospitals) and general medical and dental practice services (including ward, clinic and MDT work), intensive care and other specialist unit ward rounds, assessing outcomes of infection management, and to deal with complications as they arise. Includes out-of-hours and emergency support.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Production of local evidence-based guidance to recognise, investigate and manage infection in all relevant healthcare settings.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Antibiotic, antifungal and antiviral stewardship – specialist expertise in their safe and effective use, audit, training and gatekeeping for responsible antimicrobial prescribing.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Clinical supervision and training of infection specialist trainees and clinical scientists, to ensure appropriately qualified staff for the future.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2.2.3 Diagnostic services </w:t>
      </w: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a) Pre-analytical phase </w:t>
      </w:r>
    </w:p>
    <w:p w:rsidR="001223A5" w:rsidRPr="004E26A5" w:rsidRDefault="001223A5" w:rsidP="00B31768">
      <w:pPr>
        <w:pStyle w:val="Default"/>
        <w:spacing w:after="148"/>
        <w:rPr>
          <w:rFonts w:ascii="Arial" w:hAnsi="Arial" w:cs="Arial"/>
          <w:sz w:val="22"/>
          <w:szCs w:val="22"/>
        </w:rPr>
      </w:pPr>
      <w:r w:rsidRPr="004E26A5">
        <w:rPr>
          <w:rFonts w:ascii="Arial" w:hAnsi="Arial" w:cs="Arial"/>
          <w:sz w:val="22"/>
          <w:szCs w:val="22"/>
        </w:rPr>
        <w:t xml:space="preserve"> Education of patients – for what conditions do they need to consult, or be tested? </w:t>
      </w:r>
    </w:p>
    <w:p w:rsidR="001223A5" w:rsidRPr="004E26A5" w:rsidRDefault="001223A5" w:rsidP="00B31768">
      <w:pPr>
        <w:pStyle w:val="Default"/>
        <w:spacing w:after="148"/>
        <w:rPr>
          <w:rFonts w:ascii="Arial" w:hAnsi="Arial" w:cs="Arial"/>
          <w:sz w:val="22"/>
          <w:szCs w:val="22"/>
        </w:rPr>
      </w:pPr>
      <w:r w:rsidRPr="004E26A5">
        <w:rPr>
          <w:rFonts w:ascii="Arial" w:hAnsi="Arial" w:cs="Arial"/>
          <w:sz w:val="22"/>
          <w:szCs w:val="22"/>
        </w:rPr>
        <w:t xml:space="preserve"> Knowledge of antibiotics – when appropriate, side effects, limitations. Informed patient choices about who and where to consult. Test options, concepts of quality assurance. </w:t>
      </w:r>
    </w:p>
    <w:p w:rsidR="001223A5" w:rsidRPr="004E26A5" w:rsidRDefault="001223A5" w:rsidP="00B31768">
      <w:pPr>
        <w:pStyle w:val="Default"/>
        <w:spacing w:after="148"/>
        <w:rPr>
          <w:rFonts w:ascii="Arial" w:hAnsi="Arial" w:cs="Arial"/>
          <w:sz w:val="22"/>
          <w:szCs w:val="22"/>
        </w:rPr>
      </w:pPr>
      <w:r w:rsidRPr="004E26A5">
        <w:rPr>
          <w:rFonts w:ascii="Arial" w:hAnsi="Arial" w:cs="Arial"/>
          <w:sz w:val="22"/>
          <w:szCs w:val="22"/>
        </w:rPr>
        <w:t xml:space="preserve"> Education of all healthcare staff – medical, dental and nursing undergraduates, midwives, therapists. Infection and its prevention and management. Who to investigate, what specimens to take. Who to treat and with what. </w:t>
      </w:r>
    </w:p>
    <w:p w:rsidR="001223A5" w:rsidRPr="004E26A5" w:rsidRDefault="001223A5" w:rsidP="00B31768">
      <w:pPr>
        <w:pStyle w:val="Default"/>
        <w:rPr>
          <w:rFonts w:ascii="Arial" w:hAnsi="Arial" w:cs="Arial"/>
          <w:sz w:val="20"/>
          <w:szCs w:val="20"/>
        </w:rPr>
      </w:pPr>
      <w:r w:rsidRPr="004E26A5">
        <w:rPr>
          <w:rFonts w:ascii="Arial" w:hAnsi="Arial" w:cs="Arial"/>
          <w:sz w:val="22"/>
          <w:szCs w:val="22"/>
        </w:rPr>
        <w:t xml:space="preserve"> Education of healthcare service commissioners, to ensure that appropriate services are contracted and resourced.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Advice on, and supervision of, appropriate point-of-care testing where relevant.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Clinical assessment of patients – directly through ward and outpatient activities, or through consultation with clinical colleagues.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Provision of information – epidemiological information, laboratory handbooks, investigation algorithms, patient pathways integrated into other healthcare services.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Antimicrobial policies for prophylaxis and therapy, based on published data together with local surveillance data on antibiotic resistance.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Gatekeeper role to ensure that the most cost-effective and timely tests are performed, managing demand within constrained budgets.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Working collaboratively with users to provide high-quality, relevant, point-of-care testing where appropriate. </w:t>
      </w: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b) Analytical phase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lastRenderedPageBreak/>
        <w:t xml:space="preserve"> Provision of accredited (CPA or equivalent) microbiology laboratory services, clinically relevant and responsive to evolving clinical practice. Professional and strategic direction of same. Employment of appropriate technology, use of evidence-based standard operating procedures, use of appropriate skill mix, ensured continued professional development.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Equitable availability of optimal service to all users – patients, clinicians. This includes equitable access to modern molecular technology, and specialist diagnostic and clinical services.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Effective, strategically led interface between the laboratory and its users. Gatekeeping to ensure best use of resources; rationalisation and prioritisation of laboratory tests.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Consistency in laboratory interpretation and reporting.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Evaluation of new technologies and their introduction into routine practice as clinically and economically appropriate.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Support and oversight of clinically appropriate near-patient testing. </w:t>
      </w:r>
    </w:p>
    <w:p w:rsidR="001223A5" w:rsidRPr="004E26A5" w:rsidRDefault="001223A5" w:rsidP="00B31768">
      <w:pPr>
        <w:pStyle w:val="Default"/>
        <w:spacing w:after="151"/>
        <w:rPr>
          <w:rFonts w:ascii="Arial" w:hAnsi="Arial" w:cs="Arial"/>
          <w:sz w:val="22"/>
          <w:szCs w:val="22"/>
        </w:rPr>
      </w:pPr>
      <w:r w:rsidRPr="004E26A5">
        <w:rPr>
          <w:rFonts w:ascii="Arial" w:hAnsi="Arial" w:cs="Arial"/>
          <w:sz w:val="22"/>
          <w:szCs w:val="22"/>
        </w:rPr>
        <w:t xml:space="preserve"> Provision of specialist (including molecular) typing services as appropriate for infection control purposes.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Surveillance and audit to ensure maintenance of good practice, and provision of further evidence to support service development. </w:t>
      </w: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c) Post-analytical phase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Ensuring that appropriate action taken following appropriate investigation.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Ensuring access to specialist expert opinion for all users.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Feedback to users of service, to ensure full benefit to healthcare services and wider public.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Regular strategic review of services to ensure continued best use of resources, and ensuring integration of infection services into the wider business of healthcare.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Multi-disciplinary clinical audit.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Hospital and community epidemiology, to infom public health activity, local policies, infection prevention and control programmes, and educational activities.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2.2.4 Infection control </w:t>
      </w:r>
    </w:p>
    <w:p w:rsidR="001223A5" w:rsidRPr="004E26A5" w:rsidRDefault="001223A5" w:rsidP="00B31768">
      <w:pPr>
        <w:pStyle w:val="Default"/>
        <w:rPr>
          <w:rFonts w:ascii="Arial" w:hAnsi="Arial" w:cs="Arial"/>
          <w:sz w:val="20"/>
          <w:szCs w:val="20"/>
        </w:rPr>
      </w:pPr>
      <w:r w:rsidRPr="004E26A5">
        <w:rPr>
          <w:rFonts w:ascii="Arial" w:hAnsi="Arial" w:cs="Arial"/>
          <w:sz w:val="22"/>
          <w:szCs w:val="22"/>
        </w:rPr>
        <w:t xml:space="preserve"> Strategic leadership at Trust board level, integrating infection control with corporate governance.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Implementation of national infection prevention and control standards and codes of practice.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Operational leadership of infection control team.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Contribution to patient safety by leading on the development of systems which reduce infection risk to patients, staff and visitors.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Recognition of emergence of antibiotic-resistant strains within the community and acute healthcare settings.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Detection and management of outbreaks. This includes appropriate access to, and use of, specialist (including molecular) typing services.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Policy making, audit of clinical practice.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Education and ongoing training for all healthcare staff. </w:t>
      </w:r>
    </w:p>
    <w:p w:rsidR="001223A5" w:rsidRPr="004E26A5" w:rsidRDefault="001223A5" w:rsidP="00B31768">
      <w:pPr>
        <w:pStyle w:val="Default"/>
        <w:spacing w:after="149"/>
        <w:rPr>
          <w:rFonts w:ascii="Arial" w:hAnsi="Arial" w:cs="Arial"/>
          <w:sz w:val="22"/>
          <w:szCs w:val="22"/>
        </w:rPr>
      </w:pPr>
      <w:r w:rsidRPr="004E26A5">
        <w:rPr>
          <w:rFonts w:ascii="Arial" w:hAnsi="Arial" w:cs="Arial"/>
          <w:sz w:val="22"/>
          <w:szCs w:val="22"/>
        </w:rPr>
        <w:t xml:space="preserve"> Provision of patient information.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lastRenderedPageBreak/>
        <w:t xml:space="preserve"> Surveillance of healthcare-associated infection, with feedback to ensure good practice incorporated into clinical services.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2.2.5 Public health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Local, regional, national and international information gathering to inform health policy.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Management of cases and incidents with potential communicable disease implications.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Effective communication with the public and healthcare professionals about matters of communicable disease significance.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Facilitation of multi-professional collaboration in the management of infection, including hospital, primary care and social care teams.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Surveillance of vaccine-preventable diseases.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Local and national surveillance of reportable conditions and isolates.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Ensuring that laboratory refers appropriate significant isolates for further typing.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Outbreak identification and management.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Recognition of emerging pathogens of potential importance.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b/>
          <w:bCs/>
          <w:sz w:val="22"/>
          <w:szCs w:val="22"/>
        </w:rPr>
        <w:t xml:space="preserve">2.2.6 Education and research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Education and research underpin all of the above activities, but in particular there must be medical microbiology and infectious disease physician involvement in the following: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public education material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medical, dental and nursing undergraduate education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ongoing medical, dental and nursing postgraduate education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clinical and bio-medical scientist education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specific infection (laboratory and clinical) training for public health physicians, antibiotic pharmacists and others requiring competency in antibiotic stewardship and/or the appropriate use of microbiology diagnostic laboratories </w:t>
      </w:r>
    </w:p>
    <w:p w:rsidR="001223A5" w:rsidRPr="004E26A5" w:rsidRDefault="001223A5" w:rsidP="00B31768">
      <w:pPr>
        <w:pStyle w:val="Default"/>
        <w:spacing w:after="147"/>
        <w:rPr>
          <w:rFonts w:ascii="Arial" w:hAnsi="Arial" w:cs="Arial"/>
          <w:sz w:val="22"/>
          <w:szCs w:val="22"/>
        </w:rPr>
      </w:pPr>
      <w:r w:rsidRPr="004E26A5">
        <w:rPr>
          <w:rFonts w:ascii="Arial" w:hAnsi="Arial" w:cs="Arial"/>
          <w:sz w:val="22"/>
          <w:szCs w:val="22"/>
        </w:rPr>
        <w:t xml:space="preserve"> research into best delivery and treatment options for infectious disease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 understanding the social, psychological and behavioural aspects of infectious disease, to better inform clinical interventions and educational initiatives.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3"/>
          <w:szCs w:val="23"/>
        </w:rPr>
      </w:pPr>
      <w:r w:rsidRPr="004E26A5">
        <w:rPr>
          <w:rFonts w:ascii="Arial" w:hAnsi="Arial" w:cs="Arial"/>
          <w:b/>
          <w:bCs/>
          <w:sz w:val="23"/>
          <w:szCs w:val="23"/>
        </w:rPr>
        <w:t xml:space="preserve">3 Workload and service delivery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3.1 The wide ranging scope of infection services requires a team of specialists with defined skills within each locality. Each team will differ according to local clinical need and commissioned specialist services, but will require clinical, scientific, epidemiological and nursing expertise and cover the main areas of infection practice: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clinical microbiology (including clinical oral microbiology)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infectious disease medicine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diagnostic expertise and laboratory direction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specialist virology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infection control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GU medicine </w:t>
      </w:r>
    </w:p>
    <w:p w:rsidR="001223A5" w:rsidRPr="004E26A5" w:rsidRDefault="001223A5" w:rsidP="00B31768">
      <w:pPr>
        <w:pStyle w:val="Default"/>
        <w:spacing w:after="150"/>
        <w:rPr>
          <w:rFonts w:ascii="Arial" w:hAnsi="Arial" w:cs="Arial"/>
          <w:sz w:val="22"/>
          <w:szCs w:val="22"/>
        </w:rPr>
      </w:pPr>
      <w:r w:rsidRPr="004E26A5">
        <w:rPr>
          <w:rFonts w:ascii="Arial" w:hAnsi="Arial" w:cs="Arial"/>
          <w:sz w:val="22"/>
          <w:szCs w:val="22"/>
        </w:rPr>
        <w:t xml:space="preserve"> public health and epidemiology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lastRenderedPageBreak/>
        <w:t xml:space="preserve"> access to specialist clinical and reference diagnostic services (including tropical medicine, mycology, parasitology and molecular typing). </w:t>
      </w:r>
    </w:p>
    <w:p w:rsidR="001223A5" w:rsidRPr="004E26A5" w:rsidRDefault="001223A5" w:rsidP="00B31768">
      <w:pPr>
        <w:pStyle w:val="Default"/>
        <w:rPr>
          <w:rFonts w:ascii="Arial" w:hAnsi="Arial" w:cs="Arial"/>
          <w:sz w:val="22"/>
          <w:szCs w:val="22"/>
        </w:rPr>
      </w:pP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Other hospital and general practice healthcare staff need to know who to contact for specialist advice in any area of infection, and infection specialists need to be fully integrated into local healthcare teams, clinical pathways, MDTs, education and guideline/protocol setting. Additional expertise should be included as appropriate and may include: hospital and community epidemiologists, investment in electronic surveillance systems, other information technology and informatics expertise. The skills of a health economist should be accessible to determine most cost-effective and clinically optimal configurations of services within available resources.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3.2 Although output specifications for an infection service can be identified, resources within laboratories and clinical workforce are often limited. It is important to define those elements of the service which the professions regard as core activity, essential to clinical care. Where prioritisation is inevitable, decisions must be patient-focussed and risk-assessed. Clinical workload must focus on those elements most essential to patient care and public health, and interventions should be as evidence-based and outcome-driven as possible. Activities of poorly defined value should cease, but investment which can be shown to be associated with quality interventions to improve patient care and clinical outcomes must continue. </w:t>
      </w:r>
    </w:p>
    <w:p w:rsidR="001223A5" w:rsidRPr="004E26A5" w:rsidRDefault="001223A5" w:rsidP="00B31768">
      <w:pPr>
        <w:pStyle w:val="Default"/>
        <w:rPr>
          <w:rFonts w:ascii="Arial" w:hAnsi="Arial" w:cs="Arial"/>
          <w:sz w:val="22"/>
          <w:szCs w:val="22"/>
        </w:rPr>
      </w:pPr>
      <w:r w:rsidRPr="004E26A5">
        <w:rPr>
          <w:rFonts w:ascii="Arial" w:hAnsi="Arial" w:cs="Arial"/>
          <w:sz w:val="22"/>
          <w:szCs w:val="22"/>
        </w:rPr>
        <w:t xml:space="preserve">3.3 Configurations of clinical and diagnostic services are likely to differ across the country, but all patients should be assured equity of access to appropriate investigation and safe clinical care. Diagnostic services must be appropriate and responsive to clinical services and future developments. Tests of clinical and infection control urgency must be appropriately available to support clinical decision making. The same quality standards, training expectations, audit and surveillance requirements should apply to any provider of pathology and clinical infection services, irrespective whether NHS or private provider. </w:t>
      </w:r>
    </w:p>
    <w:p w:rsidR="001223A5" w:rsidRDefault="001223A5" w:rsidP="00B31768">
      <w:pPr>
        <w:rPr>
          <w:rFonts w:cs="Arial"/>
        </w:rPr>
      </w:pPr>
      <w:r w:rsidRPr="00ED4D4E">
        <w:rPr>
          <w:rFonts w:cs="Arial"/>
        </w:rPr>
        <w:t>3.4 Configurations of clinical and diagnostic services must also be able to support the ongoing training of infection specialists of the future. There must also be support for the clinical development of existing staff as service needs alter. Consideration must be given to the recruitment and retention of suitable qualified individuals providing clinical services in sites without on-site diagnostic facilities. Such individuals need to retain their interest and strategic influence within the off-site laboratory, and continue to be able to develop the service, including near-patient testing as clinically appropriate.</w:t>
      </w:r>
    </w:p>
    <w:p w:rsidR="001223A5" w:rsidRDefault="001223A5" w:rsidP="00B31768">
      <w:pPr>
        <w:rPr>
          <w:rFonts w:cs="Arial"/>
        </w:rPr>
      </w:pPr>
    </w:p>
    <w:p w:rsidR="001223A5" w:rsidRDefault="001223A5" w:rsidP="00B31768">
      <w:pPr>
        <w:rPr>
          <w:rFonts w:cs="Arial"/>
          <w:b/>
        </w:rPr>
      </w:pPr>
      <w:r w:rsidRPr="00ED4D4E">
        <w:rPr>
          <w:rFonts w:cs="Arial"/>
          <w:b/>
        </w:rPr>
        <w:t>Suggested teams</w:t>
      </w:r>
      <w:r>
        <w:rPr>
          <w:rFonts w:cs="Arial"/>
          <w:b/>
        </w:rPr>
        <w:t>/services</w:t>
      </w:r>
      <w:r w:rsidRPr="00ED4D4E">
        <w:rPr>
          <w:rFonts w:cs="Arial"/>
          <w:b/>
        </w:rPr>
        <w:t xml:space="preserve"> for various settings</w:t>
      </w:r>
    </w:p>
    <w:p w:rsidR="001223A5" w:rsidRDefault="001223A5" w:rsidP="00B31768">
      <w:pPr>
        <w:rPr>
          <w:rFonts w:cs="Arial"/>
          <w:b/>
        </w:rPr>
      </w:pPr>
      <w:r>
        <w:rPr>
          <w:rFonts w:cs="Arial"/>
          <w:b/>
        </w:rPr>
        <w:t>Core services in all acute hospitals</w:t>
      </w:r>
      <w:r w:rsidRPr="00225A24">
        <w:rPr>
          <w:rFonts w:cs="Arial"/>
          <w:b/>
        </w:rPr>
        <w:t xml:space="preserve"> </w:t>
      </w:r>
      <w:r w:rsidRPr="00ED4D4E">
        <w:rPr>
          <w:rFonts w:cs="Arial"/>
          <w:b/>
        </w:rPr>
        <w:t>and surrounding community</w:t>
      </w:r>
    </w:p>
    <w:p w:rsidR="001223A5" w:rsidRDefault="001223A5" w:rsidP="00B31768">
      <w:pPr>
        <w:rPr>
          <w:rFonts w:cs="Arial"/>
        </w:rPr>
      </w:pPr>
      <w:r>
        <w:rPr>
          <w:rFonts w:cs="Arial"/>
        </w:rPr>
        <w:t>Clinical advice to colleagues, investigations, treatment, follow-up</w:t>
      </w:r>
    </w:p>
    <w:p w:rsidR="001223A5" w:rsidRDefault="001223A5" w:rsidP="00B31768">
      <w:pPr>
        <w:rPr>
          <w:rFonts w:cs="Arial"/>
        </w:rPr>
      </w:pPr>
      <w:r>
        <w:rPr>
          <w:rFonts w:cs="Arial"/>
        </w:rPr>
        <w:tab/>
        <w:t>Telephone</w:t>
      </w:r>
    </w:p>
    <w:p w:rsidR="001223A5" w:rsidRDefault="001223A5" w:rsidP="00B31768">
      <w:pPr>
        <w:rPr>
          <w:rFonts w:cs="Arial"/>
        </w:rPr>
      </w:pPr>
      <w:r>
        <w:rPr>
          <w:rFonts w:cs="Arial"/>
        </w:rPr>
        <w:tab/>
        <w:t>In person, consultations, ward rounds</w:t>
      </w:r>
    </w:p>
    <w:p w:rsidR="001223A5" w:rsidRDefault="001223A5" w:rsidP="00B31768">
      <w:pPr>
        <w:rPr>
          <w:rFonts w:cs="Arial"/>
        </w:rPr>
      </w:pPr>
      <w:r>
        <w:rPr>
          <w:rFonts w:cs="Arial"/>
        </w:rPr>
        <w:tab/>
        <w:t>MDTs</w:t>
      </w:r>
    </w:p>
    <w:p w:rsidR="001223A5" w:rsidRPr="0011178B" w:rsidRDefault="001223A5" w:rsidP="00B31768">
      <w:pPr>
        <w:rPr>
          <w:rFonts w:cs="Arial"/>
          <w:i/>
        </w:rPr>
      </w:pPr>
      <w:r>
        <w:rPr>
          <w:rFonts w:cs="Arial"/>
        </w:rPr>
        <w:tab/>
      </w:r>
      <w:r>
        <w:rPr>
          <w:rFonts w:cs="Arial"/>
          <w:i/>
        </w:rPr>
        <w:t>Improved quality of service/financial savings</w:t>
      </w:r>
    </w:p>
    <w:p w:rsidR="001223A5" w:rsidRDefault="001223A5" w:rsidP="00B31768">
      <w:pPr>
        <w:rPr>
          <w:rFonts w:cs="Arial"/>
        </w:rPr>
      </w:pPr>
      <w:r>
        <w:rPr>
          <w:rFonts w:cs="Arial"/>
        </w:rPr>
        <w:t>Validation of results/reacting proactively to results issued by the laboratory</w:t>
      </w:r>
    </w:p>
    <w:p w:rsidR="001223A5" w:rsidRPr="0011178B" w:rsidRDefault="001223A5" w:rsidP="00B31768">
      <w:pPr>
        <w:rPr>
          <w:rFonts w:cs="Arial"/>
          <w:i/>
        </w:rPr>
      </w:pPr>
      <w:r>
        <w:rPr>
          <w:rFonts w:cs="Arial"/>
        </w:rPr>
        <w:tab/>
      </w:r>
      <w:r>
        <w:rPr>
          <w:rFonts w:cs="Arial"/>
          <w:i/>
        </w:rPr>
        <w:t>Quality of service</w:t>
      </w:r>
    </w:p>
    <w:p w:rsidR="001223A5" w:rsidRDefault="001223A5" w:rsidP="00B31768">
      <w:pPr>
        <w:rPr>
          <w:rFonts w:cs="Arial"/>
        </w:rPr>
      </w:pPr>
      <w:r>
        <w:rPr>
          <w:rFonts w:cs="Arial"/>
        </w:rPr>
        <w:t>Infection Control Doctor</w:t>
      </w:r>
    </w:p>
    <w:p w:rsidR="001223A5" w:rsidRDefault="001223A5" w:rsidP="00B31768">
      <w:pPr>
        <w:ind w:firstLine="720"/>
        <w:rPr>
          <w:rFonts w:cs="Arial"/>
        </w:rPr>
      </w:pPr>
      <w:r>
        <w:rPr>
          <w:rFonts w:cs="Arial"/>
        </w:rPr>
        <w:t>HCAI prevention and reporting</w:t>
      </w:r>
    </w:p>
    <w:p w:rsidR="001223A5" w:rsidRDefault="001223A5" w:rsidP="00B31768">
      <w:pPr>
        <w:ind w:firstLine="720"/>
        <w:rPr>
          <w:rFonts w:cs="Arial"/>
        </w:rPr>
      </w:pPr>
      <w:r>
        <w:rPr>
          <w:rFonts w:cs="Arial"/>
        </w:rPr>
        <w:t>Water Safety</w:t>
      </w:r>
    </w:p>
    <w:p w:rsidR="001223A5" w:rsidRDefault="001223A5" w:rsidP="00B31768">
      <w:pPr>
        <w:ind w:firstLine="720"/>
        <w:rPr>
          <w:rFonts w:cs="Arial"/>
        </w:rPr>
      </w:pPr>
      <w:r>
        <w:rPr>
          <w:rFonts w:cs="Arial"/>
        </w:rPr>
        <w:t>Decontamination</w:t>
      </w:r>
    </w:p>
    <w:p w:rsidR="001223A5" w:rsidRDefault="001223A5" w:rsidP="00B31768">
      <w:pPr>
        <w:ind w:firstLine="720"/>
        <w:rPr>
          <w:rFonts w:cs="Arial"/>
        </w:rPr>
      </w:pPr>
      <w:r>
        <w:rPr>
          <w:rFonts w:cs="Arial"/>
        </w:rPr>
        <w:lastRenderedPageBreak/>
        <w:t xml:space="preserve"> Occ Health advice</w:t>
      </w:r>
    </w:p>
    <w:p w:rsidR="001223A5" w:rsidRDefault="001223A5" w:rsidP="00B31768">
      <w:pPr>
        <w:ind w:firstLine="720"/>
        <w:rPr>
          <w:rFonts w:cs="Arial"/>
        </w:rPr>
      </w:pPr>
      <w:r>
        <w:rPr>
          <w:rFonts w:cs="Arial"/>
          <w:i/>
        </w:rPr>
        <w:t>Improved quality of service/financial savings</w:t>
      </w:r>
    </w:p>
    <w:p w:rsidR="001223A5" w:rsidRDefault="001223A5" w:rsidP="00B31768">
      <w:pPr>
        <w:rPr>
          <w:rFonts w:cs="Arial"/>
        </w:rPr>
      </w:pPr>
      <w:r>
        <w:rPr>
          <w:rFonts w:cs="Arial"/>
        </w:rPr>
        <w:t>Antimicrobial Stewardship</w:t>
      </w:r>
    </w:p>
    <w:p w:rsidR="001223A5" w:rsidRDefault="001223A5" w:rsidP="00B31768">
      <w:pPr>
        <w:rPr>
          <w:rFonts w:cs="Arial"/>
        </w:rPr>
      </w:pPr>
      <w:r>
        <w:rPr>
          <w:rFonts w:cs="Arial"/>
        </w:rPr>
        <w:tab/>
        <w:t>Policies/Guidelines</w:t>
      </w:r>
    </w:p>
    <w:p w:rsidR="001223A5" w:rsidRDefault="001223A5" w:rsidP="00B31768">
      <w:pPr>
        <w:rPr>
          <w:rFonts w:cs="Arial"/>
        </w:rPr>
      </w:pPr>
      <w:r>
        <w:rPr>
          <w:rFonts w:cs="Arial"/>
        </w:rPr>
        <w:tab/>
        <w:t>Monitoring/reporting</w:t>
      </w:r>
    </w:p>
    <w:p w:rsidR="001223A5" w:rsidRDefault="001223A5" w:rsidP="00B31768">
      <w:pPr>
        <w:rPr>
          <w:rFonts w:cs="Arial"/>
        </w:rPr>
      </w:pPr>
      <w:r>
        <w:rPr>
          <w:rFonts w:cs="Arial"/>
        </w:rPr>
        <w:tab/>
      </w:r>
      <w:r>
        <w:rPr>
          <w:rFonts w:cs="Arial"/>
          <w:i/>
        </w:rPr>
        <w:t>Improved quality of service/financial savings</w:t>
      </w:r>
    </w:p>
    <w:p w:rsidR="001223A5" w:rsidRDefault="001223A5" w:rsidP="00B31768">
      <w:pPr>
        <w:rPr>
          <w:rFonts w:cs="Arial"/>
        </w:rPr>
      </w:pPr>
      <w:r>
        <w:rPr>
          <w:rFonts w:cs="Arial"/>
        </w:rPr>
        <w:t xml:space="preserve">Education and training </w:t>
      </w:r>
    </w:p>
    <w:p w:rsidR="001223A5" w:rsidRDefault="001223A5" w:rsidP="00B31768">
      <w:pPr>
        <w:rPr>
          <w:rFonts w:cs="Arial"/>
        </w:rPr>
      </w:pPr>
      <w:r>
        <w:rPr>
          <w:rFonts w:cs="Arial"/>
        </w:rPr>
        <w:tab/>
        <w:t>Medical staff</w:t>
      </w:r>
    </w:p>
    <w:p w:rsidR="001223A5" w:rsidRDefault="001223A5" w:rsidP="00B31768">
      <w:pPr>
        <w:rPr>
          <w:rFonts w:cs="Arial"/>
        </w:rPr>
      </w:pPr>
      <w:r>
        <w:rPr>
          <w:rFonts w:cs="Arial"/>
        </w:rPr>
        <w:tab/>
        <w:t>Nursing staff</w:t>
      </w:r>
    </w:p>
    <w:p w:rsidR="001223A5" w:rsidRDefault="001223A5" w:rsidP="00B31768">
      <w:pPr>
        <w:rPr>
          <w:rFonts w:cs="Arial"/>
        </w:rPr>
      </w:pPr>
      <w:r>
        <w:rPr>
          <w:rFonts w:cs="Arial"/>
        </w:rPr>
        <w:tab/>
        <w:t>Other staff</w:t>
      </w:r>
    </w:p>
    <w:p w:rsidR="001223A5" w:rsidRDefault="001223A5" w:rsidP="00B31768">
      <w:pPr>
        <w:rPr>
          <w:rFonts w:cs="Arial"/>
        </w:rPr>
      </w:pPr>
      <w:r>
        <w:rPr>
          <w:rFonts w:cs="Arial"/>
        </w:rPr>
        <w:tab/>
      </w:r>
      <w:r>
        <w:rPr>
          <w:rFonts w:cs="Arial"/>
          <w:i/>
        </w:rPr>
        <w:t>Quality of service</w:t>
      </w:r>
    </w:p>
    <w:p w:rsidR="001223A5" w:rsidRDefault="001223A5" w:rsidP="00B31768">
      <w:pPr>
        <w:rPr>
          <w:rFonts w:cs="Arial"/>
        </w:rPr>
      </w:pPr>
      <w:r>
        <w:rPr>
          <w:rFonts w:cs="Arial"/>
        </w:rPr>
        <w:t>Governance etc</w:t>
      </w:r>
    </w:p>
    <w:p w:rsidR="001223A5" w:rsidRDefault="001223A5" w:rsidP="00B31768">
      <w:pPr>
        <w:rPr>
          <w:rFonts w:cs="Arial"/>
          <w:b/>
        </w:rPr>
      </w:pPr>
      <w:r w:rsidRPr="00ED4D4E">
        <w:rPr>
          <w:rFonts w:cs="Arial"/>
          <w:b/>
        </w:rPr>
        <w:t xml:space="preserve">District General Hospital </w:t>
      </w:r>
      <w:r>
        <w:rPr>
          <w:rFonts w:cs="Arial"/>
          <w:b/>
        </w:rPr>
        <w:t>(core plus)</w:t>
      </w:r>
    </w:p>
    <w:p w:rsidR="001223A5" w:rsidRDefault="001223A5" w:rsidP="00B31768">
      <w:pPr>
        <w:rPr>
          <w:rFonts w:cs="Arial"/>
          <w:b/>
        </w:rPr>
      </w:pPr>
      <w:r>
        <w:rPr>
          <w:rFonts w:cs="Arial"/>
          <w:b/>
        </w:rPr>
        <w:tab/>
        <w:t>Hub laboratory</w:t>
      </w:r>
    </w:p>
    <w:p w:rsidR="001223A5" w:rsidRDefault="001223A5" w:rsidP="00B31768">
      <w:pPr>
        <w:rPr>
          <w:rFonts w:cs="Arial"/>
        </w:rPr>
      </w:pPr>
      <w:r>
        <w:rPr>
          <w:rFonts w:cs="Arial"/>
          <w:b/>
        </w:rPr>
        <w:tab/>
      </w:r>
      <w:r>
        <w:rPr>
          <w:rFonts w:cs="Arial"/>
        </w:rPr>
        <w:t>Leadership of laboratory</w:t>
      </w:r>
    </w:p>
    <w:p w:rsidR="001223A5" w:rsidRDefault="001223A5" w:rsidP="00B31768">
      <w:pPr>
        <w:rPr>
          <w:rFonts w:cs="Arial"/>
        </w:rPr>
      </w:pPr>
      <w:r>
        <w:rPr>
          <w:rFonts w:cs="Arial"/>
        </w:rPr>
        <w:tab/>
        <w:t>Management of laboratory</w:t>
      </w:r>
    </w:p>
    <w:p w:rsidR="001223A5" w:rsidRPr="00225A24" w:rsidRDefault="001223A5" w:rsidP="00B31768">
      <w:pPr>
        <w:rPr>
          <w:rFonts w:cs="Arial"/>
        </w:rPr>
      </w:pPr>
      <w:r>
        <w:rPr>
          <w:rFonts w:cs="Arial"/>
        </w:rPr>
        <w:tab/>
      </w:r>
      <w:r>
        <w:rPr>
          <w:rFonts w:cs="Arial"/>
          <w:i/>
        </w:rPr>
        <w:t>Improved quality of service/financial savings</w:t>
      </w:r>
    </w:p>
    <w:p w:rsidR="001223A5" w:rsidRDefault="001223A5" w:rsidP="00B31768">
      <w:pPr>
        <w:rPr>
          <w:rFonts w:cs="Arial"/>
          <w:b/>
        </w:rPr>
      </w:pPr>
      <w:r>
        <w:rPr>
          <w:rFonts w:cs="Arial"/>
          <w:b/>
        </w:rPr>
        <w:tab/>
        <w:t>Satellite hospital</w:t>
      </w:r>
    </w:p>
    <w:p w:rsidR="001223A5" w:rsidRDefault="001223A5" w:rsidP="00B31768">
      <w:pPr>
        <w:rPr>
          <w:rFonts w:cs="Arial"/>
        </w:rPr>
      </w:pPr>
      <w:r>
        <w:rPr>
          <w:rFonts w:cs="Arial"/>
          <w:b/>
        </w:rPr>
        <w:tab/>
      </w:r>
      <w:r>
        <w:rPr>
          <w:rFonts w:cs="Arial"/>
        </w:rPr>
        <w:t>Relationship with hub to enable and facilitate service</w:t>
      </w:r>
    </w:p>
    <w:p w:rsidR="001223A5" w:rsidRPr="00225A24" w:rsidRDefault="001223A5" w:rsidP="00B31768">
      <w:pPr>
        <w:rPr>
          <w:rFonts w:cs="Arial"/>
        </w:rPr>
      </w:pPr>
      <w:r>
        <w:rPr>
          <w:rFonts w:cs="Arial"/>
        </w:rPr>
        <w:tab/>
      </w:r>
      <w:r>
        <w:rPr>
          <w:rFonts w:cs="Arial"/>
          <w:i/>
        </w:rPr>
        <w:t>Improved quality of service/financial savings</w:t>
      </w:r>
    </w:p>
    <w:p w:rsidR="001223A5" w:rsidRDefault="001223A5" w:rsidP="00B31768">
      <w:pPr>
        <w:rPr>
          <w:rFonts w:cs="Arial"/>
          <w:b/>
        </w:rPr>
      </w:pPr>
      <w:r>
        <w:rPr>
          <w:rFonts w:cs="Arial"/>
          <w:b/>
        </w:rPr>
        <w:tab/>
        <w:t>Teaching centre</w:t>
      </w:r>
    </w:p>
    <w:p w:rsidR="001223A5" w:rsidRDefault="001223A5" w:rsidP="00B31768">
      <w:pPr>
        <w:rPr>
          <w:rFonts w:cs="Arial"/>
        </w:rPr>
      </w:pPr>
      <w:r>
        <w:rPr>
          <w:rFonts w:cs="Arial"/>
          <w:b/>
        </w:rPr>
        <w:tab/>
      </w:r>
      <w:r>
        <w:rPr>
          <w:rFonts w:cs="Arial"/>
        </w:rPr>
        <w:t>Specific teaching responsibilities</w:t>
      </w:r>
    </w:p>
    <w:p w:rsidR="001223A5" w:rsidRPr="00AC6C37" w:rsidRDefault="001223A5" w:rsidP="00B31768">
      <w:pPr>
        <w:rPr>
          <w:rFonts w:cs="Arial"/>
          <w:i/>
        </w:rPr>
      </w:pPr>
      <w:r>
        <w:rPr>
          <w:rFonts w:cs="Arial"/>
        </w:rPr>
        <w:tab/>
      </w:r>
      <w:r>
        <w:rPr>
          <w:rFonts w:cs="Arial"/>
          <w:i/>
        </w:rPr>
        <w:t>Contractual requirement/quality of service</w:t>
      </w:r>
    </w:p>
    <w:p w:rsidR="001223A5" w:rsidRDefault="001223A5" w:rsidP="00B31768">
      <w:pPr>
        <w:rPr>
          <w:rFonts w:cs="Arial"/>
          <w:b/>
        </w:rPr>
      </w:pPr>
      <w:r>
        <w:rPr>
          <w:rFonts w:cs="Arial"/>
          <w:b/>
        </w:rPr>
        <w:tab/>
        <w:t>Research centre</w:t>
      </w:r>
    </w:p>
    <w:p w:rsidR="001223A5" w:rsidRDefault="001223A5" w:rsidP="00B31768">
      <w:pPr>
        <w:rPr>
          <w:rFonts w:cs="Arial"/>
        </w:rPr>
      </w:pPr>
      <w:r>
        <w:rPr>
          <w:rFonts w:cs="Arial"/>
          <w:b/>
        </w:rPr>
        <w:tab/>
      </w:r>
      <w:r>
        <w:rPr>
          <w:rFonts w:cs="Arial"/>
        </w:rPr>
        <w:t>Specific research responsibilities</w:t>
      </w:r>
    </w:p>
    <w:p w:rsidR="001223A5" w:rsidRPr="00225A24" w:rsidRDefault="001223A5" w:rsidP="00B31768">
      <w:pPr>
        <w:rPr>
          <w:rFonts w:cs="Arial"/>
        </w:rPr>
      </w:pPr>
      <w:r>
        <w:rPr>
          <w:rFonts w:cs="Arial"/>
        </w:rPr>
        <w:tab/>
      </w:r>
      <w:r>
        <w:rPr>
          <w:rFonts w:cs="Arial"/>
          <w:i/>
        </w:rPr>
        <w:t>Contractual requirement/quality of service</w:t>
      </w:r>
    </w:p>
    <w:p w:rsidR="001223A5" w:rsidRDefault="001223A5" w:rsidP="00B31768">
      <w:pPr>
        <w:rPr>
          <w:rFonts w:cs="Arial"/>
          <w:b/>
        </w:rPr>
      </w:pPr>
      <w:r>
        <w:rPr>
          <w:rFonts w:cs="Arial"/>
          <w:b/>
        </w:rPr>
        <w:t>Tertiary Hospital (core plus)</w:t>
      </w:r>
    </w:p>
    <w:p w:rsidR="001223A5" w:rsidRDefault="001223A5" w:rsidP="00B31768">
      <w:pPr>
        <w:rPr>
          <w:rFonts w:cs="Arial"/>
          <w:b/>
        </w:rPr>
      </w:pPr>
      <w:r>
        <w:rPr>
          <w:rFonts w:cs="Arial"/>
          <w:b/>
        </w:rPr>
        <w:tab/>
        <w:t>Hub laboratory</w:t>
      </w:r>
    </w:p>
    <w:p w:rsidR="001223A5" w:rsidRDefault="001223A5" w:rsidP="00B31768">
      <w:pPr>
        <w:ind w:left="720"/>
        <w:rPr>
          <w:rFonts w:cs="Arial"/>
        </w:rPr>
      </w:pPr>
      <w:r>
        <w:rPr>
          <w:rFonts w:cs="Arial"/>
        </w:rPr>
        <w:t>As above to include laboratory service to tertiary services; may include regional laboratory function/service like virology</w:t>
      </w:r>
    </w:p>
    <w:p w:rsidR="001223A5" w:rsidRDefault="001223A5" w:rsidP="00B31768">
      <w:pPr>
        <w:ind w:left="720"/>
        <w:rPr>
          <w:rFonts w:cs="Arial"/>
        </w:rPr>
      </w:pPr>
      <w:r>
        <w:rPr>
          <w:rFonts w:cs="Arial"/>
        </w:rPr>
        <w:t>Specialist tertiary service infection advice and involvement as above</w:t>
      </w:r>
    </w:p>
    <w:p w:rsidR="001223A5" w:rsidRPr="00225A24" w:rsidRDefault="001223A5" w:rsidP="00B31768">
      <w:pPr>
        <w:ind w:left="720"/>
        <w:rPr>
          <w:rFonts w:cs="Arial"/>
        </w:rPr>
      </w:pPr>
      <w:r>
        <w:rPr>
          <w:rFonts w:cs="Arial"/>
          <w:i/>
        </w:rPr>
        <w:t>Improved quality of service/financial savings</w:t>
      </w:r>
    </w:p>
    <w:p w:rsidR="001223A5" w:rsidRDefault="001223A5" w:rsidP="00B31768">
      <w:pPr>
        <w:rPr>
          <w:rFonts w:cs="Arial"/>
          <w:b/>
        </w:rPr>
      </w:pPr>
      <w:r>
        <w:rPr>
          <w:rFonts w:cs="Arial"/>
          <w:b/>
        </w:rPr>
        <w:tab/>
        <w:t>Satellite hospital</w:t>
      </w:r>
    </w:p>
    <w:p w:rsidR="001223A5" w:rsidRPr="00225A24" w:rsidRDefault="001223A5" w:rsidP="00B31768">
      <w:pPr>
        <w:ind w:left="720"/>
        <w:rPr>
          <w:rFonts w:cs="Arial"/>
        </w:rPr>
      </w:pPr>
      <w:r>
        <w:rPr>
          <w:rFonts w:cs="Arial"/>
        </w:rPr>
        <w:t>Specialist tertiary service infection advice and involvement as above</w:t>
      </w:r>
    </w:p>
    <w:p w:rsidR="001223A5" w:rsidRDefault="001223A5" w:rsidP="00B31768">
      <w:pPr>
        <w:rPr>
          <w:rFonts w:cs="Arial"/>
          <w:b/>
        </w:rPr>
      </w:pPr>
      <w:r>
        <w:rPr>
          <w:rFonts w:cs="Arial"/>
          <w:b/>
        </w:rPr>
        <w:tab/>
      </w:r>
      <w:r>
        <w:rPr>
          <w:rFonts w:cs="Arial"/>
          <w:i/>
        </w:rPr>
        <w:t>Improved quality of service/financial savings</w:t>
      </w:r>
    </w:p>
    <w:p w:rsidR="001223A5" w:rsidRDefault="001223A5" w:rsidP="00B31768">
      <w:pPr>
        <w:rPr>
          <w:rFonts w:cs="Arial"/>
          <w:b/>
        </w:rPr>
      </w:pPr>
      <w:r>
        <w:rPr>
          <w:rFonts w:cs="Arial"/>
          <w:b/>
        </w:rPr>
        <w:tab/>
        <w:t>Teaching centre</w:t>
      </w:r>
    </w:p>
    <w:p w:rsidR="001223A5" w:rsidRDefault="001223A5" w:rsidP="00B31768">
      <w:pPr>
        <w:rPr>
          <w:rFonts w:cs="Arial"/>
        </w:rPr>
      </w:pPr>
      <w:r>
        <w:rPr>
          <w:rFonts w:cs="Arial"/>
          <w:b/>
        </w:rPr>
        <w:tab/>
      </w:r>
      <w:r>
        <w:rPr>
          <w:rFonts w:cs="Arial"/>
        </w:rPr>
        <w:t>Specific teaching responsibilities</w:t>
      </w:r>
    </w:p>
    <w:p w:rsidR="001223A5" w:rsidRPr="00225A24" w:rsidRDefault="001223A5" w:rsidP="00B31768">
      <w:pPr>
        <w:rPr>
          <w:rFonts w:cs="Arial"/>
        </w:rPr>
      </w:pPr>
      <w:r>
        <w:rPr>
          <w:rFonts w:cs="Arial"/>
        </w:rPr>
        <w:tab/>
      </w:r>
      <w:r>
        <w:rPr>
          <w:rFonts w:cs="Arial"/>
          <w:i/>
        </w:rPr>
        <w:t>Contractual requirement/quality of service</w:t>
      </w:r>
    </w:p>
    <w:p w:rsidR="001223A5" w:rsidRDefault="001223A5" w:rsidP="00B31768">
      <w:pPr>
        <w:rPr>
          <w:rFonts w:cs="Arial"/>
          <w:b/>
        </w:rPr>
      </w:pPr>
      <w:r>
        <w:rPr>
          <w:rFonts w:cs="Arial"/>
          <w:b/>
        </w:rPr>
        <w:lastRenderedPageBreak/>
        <w:tab/>
        <w:t>Research centre</w:t>
      </w:r>
    </w:p>
    <w:p w:rsidR="001223A5" w:rsidRDefault="001223A5" w:rsidP="00B31768">
      <w:pPr>
        <w:rPr>
          <w:rFonts w:cs="Arial"/>
        </w:rPr>
      </w:pPr>
      <w:r>
        <w:rPr>
          <w:rFonts w:cs="Arial"/>
          <w:b/>
        </w:rPr>
        <w:tab/>
      </w:r>
      <w:r>
        <w:rPr>
          <w:rFonts w:cs="Arial"/>
        </w:rPr>
        <w:t>Specific research responsibilities</w:t>
      </w:r>
    </w:p>
    <w:p w:rsidR="001223A5" w:rsidRPr="00225A24" w:rsidRDefault="001223A5" w:rsidP="00B31768">
      <w:pPr>
        <w:rPr>
          <w:rFonts w:cs="Arial"/>
        </w:rPr>
      </w:pPr>
      <w:r>
        <w:rPr>
          <w:rFonts w:cs="Arial"/>
        </w:rPr>
        <w:tab/>
      </w:r>
      <w:r>
        <w:rPr>
          <w:rFonts w:cs="Arial"/>
          <w:i/>
        </w:rPr>
        <w:t>Contractual requirement/quality of service</w:t>
      </w:r>
    </w:p>
    <w:p w:rsidR="001223A5" w:rsidRDefault="001223A5" w:rsidP="00B31768">
      <w:pPr>
        <w:rPr>
          <w:rFonts w:cs="Arial"/>
          <w:b/>
        </w:rPr>
      </w:pPr>
      <w:r>
        <w:rPr>
          <w:rFonts w:cs="Arial"/>
          <w:b/>
        </w:rPr>
        <w:t>Specialist Centre (single speciality) (core plus)</w:t>
      </w:r>
    </w:p>
    <w:p w:rsidR="001223A5" w:rsidRDefault="001223A5" w:rsidP="00B31768">
      <w:pPr>
        <w:rPr>
          <w:rFonts w:cs="Arial"/>
        </w:rPr>
      </w:pPr>
      <w:r>
        <w:rPr>
          <w:rFonts w:cs="Arial"/>
          <w:b/>
        </w:rPr>
        <w:tab/>
      </w:r>
      <w:r>
        <w:rPr>
          <w:rFonts w:cs="Arial"/>
        </w:rPr>
        <w:t>As above specifically to provide advice for speciality</w:t>
      </w:r>
    </w:p>
    <w:p w:rsidR="001223A5" w:rsidRPr="00225A24" w:rsidRDefault="001223A5" w:rsidP="00B31768">
      <w:pPr>
        <w:ind w:left="720"/>
        <w:rPr>
          <w:rFonts w:cs="Arial"/>
        </w:rPr>
      </w:pPr>
      <w:r>
        <w:rPr>
          <w:rFonts w:cs="Arial"/>
        </w:rPr>
        <w:tab/>
      </w:r>
      <w:r>
        <w:rPr>
          <w:rFonts w:cs="Arial"/>
          <w:i/>
        </w:rPr>
        <w:t>Improved quality of service/financial savings</w:t>
      </w:r>
    </w:p>
    <w:p w:rsidR="001223A5" w:rsidRDefault="001223A5" w:rsidP="00B31768">
      <w:pPr>
        <w:rPr>
          <w:rFonts w:cs="Arial"/>
          <w:b/>
        </w:rPr>
      </w:pPr>
      <w:r>
        <w:rPr>
          <w:rFonts w:cs="Arial"/>
          <w:b/>
        </w:rPr>
        <w:t>Potential additional Services</w:t>
      </w:r>
    </w:p>
    <w:p w:rsidR="001223A5" w:rsidRDefault="001223A5" w:rsidP="00B31768">
      <w:pPr>
        <w:rPr>
          <w:rFonts w:cs="Arial"/>
          <w:i/>
        </w:rPr>
      </w:pPr>
      <w:r>
        <w:rPr>
          <w:rFonts w:cs="Arial"/>
          <w:b/>
        </w:rPr>
        <w:t>OPAT</w:t>
      </w:r>
      <w:r>
        <w:rPr>
          <w:rFonts w:cs="Arial"/>
          <w:b/>
        </w:rPr>
        <w:tab/>
      </w:r>
      <w:r>
        <w:rPr>
          <w:rFonts w:cs="Arial"/>
          <w:i/>
        </w:rPr>
        <w:t>Improved quality of service/financial savings</w:t>
      </w:r>
    </w:p>
    <w:p w:rsidR="001223A5" w:rsidRDefault="001223A5" w:rsidP="00B31768">
      <w:pPr>
        <w:rPr>
          <w:rFonts w:cs="Arial"/>
          <w:b/>
        </w:rPr>
      </w:pPr>
      <w:r>
        <w:rPr>
          <w:rFonts w:cs="Arial"/>
          <w:b/>
        </w:rPr>
        <w:t>Inpatient beds (Isolation Unit</w:t>
      </w:r>
    </w:p>
    <w:p w:rsidR="001223A5" w:rsidRPr="00AC6C37" w:rsidRDefault="001223A5" w:rsidP="00B31768">
      <w:pPr>
        <w:rPr>
          <w:rFonts w:cs="Arial"/>
          <w:b/>
        </w:rPr>
      </w:pPr>
      <w:r>
        <w:rPr>
          <w:rFonts w:cs="Arial"/>
          <w:b/>
        </w:rPr>
        <w:t>Outpatient clinics</w:t>
      </w:r>
    </w:p>
    <w:p w:rsidR="007C1059" w:rsidRDefault="007C1059" w:rsidP="001223A5">
      <w:pPr>
        <w:pStyle w:val="Caption"/>
        <w:keepNext w:val="0"/>
        <w:pageBreakBefore w:val="0"/>
      </w:pPr>
    </w:p>
    <w:p w:rsidR="002452C6" w:rsidRPr="002452C6" w:rsidRDefault="002452C6" w:rsidP="002452C6"/>
    <w:sectPr w:rsidR="002452C6" w:rsidRPr="002452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B4C" w:rsidRDefault="00113B4C" w:rsidP="00E33F5D">
      <w:pPr>
        <w:spacing w:before="0"/>
      </w:pPr>
      <w:r>
        <w:separator/>
      </w:r>
    </w:p>
  </w:endnote>
  <w:endnote w:type="continuationSeparator" w:id="0">
    <w:p w:rsidR="00113B4C" w:rsidRDefault="00113B4C" w:rsidP="00E33F5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tone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179" w:rsidRDefault="00D75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247355"/>
      <w:docPartObj>
        <w:docPartGallery w:val="Page Numbers (Bottom of Page)"/>
        <w:docPartUnique/>
      </w:docPartObj>
    </w:sdtPr>
    <w:sdtEndPr>
      <w:rPr>
        <w:noProof/>
      </w:rPr>
    </w:sdtEndPr>
    <w:sdtContent>
      <w:p w:rsidR="00D75179" w:rsidRDefault="00D75179" w:rsidP="00D75179">
        <w:pPr>
          <w:pStyle w:val="Footer"/>
          <w:tabs>
            <w:tab w:val="clear" w:pos="4513"/>
          </w:tabs>
          <w:ind w:firstLine="11"/>
          <w:jc w:val="right"/>
        </w:pPr>
        <w:r>
          <w:t>Working Draft V3.1</w:t>
        </w:r>
        <w:r>
          <w:tab/>
        </w:r>
        <w:r>
          <w:fldChar w:fldCharType="begin"/>
        </w:r>
        <w:r>
          <w:instrText xml:space="preserve"> PAGE   \* MERGEFORMAT </w:instrText>
        </w:r>
        <w:r>
          <w:fldChar w:fldCharType="separate"/>
        </w:r>
        <w:r w:rsidR="00A75947">
          <w:rPr>
            <w:noProof/>
          </w:rPr>
          <w:t>1</w:t>
        </w:r>
        <w:r>
          <w:rPr>
            <w:noProof/>
          </w:rPr>
          <w:fldChar w:fldCharType="end"/>
        </w:r>
      </w:p>
    </w:sdtContent>
  </w:sdt>
  <w:p w:rsidR="00D75179" w:rsidRDefault="00D75179" w:rsidP="00D75179">
    <w:pPr>
      <w:pStyle w:val="Footer"/>
      <w:tabs>
        <w:tab w:val="clear" w:pos="4513"/>
      </w:tabs>
    </w:pPr>
    <w:r>
      <w:t>06/08/17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179" w:rsidRDefault="00D7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B4C" w:rsidRDefault="00113B4C" w:rsidP="00E33F5D">
      <w:pPr>
        <w:spacing w:before="0"/>
      </w:pPr>
      <w:r>
        <w:separator/>
      </w:r>
    </w:p>
  </w:footnote>
  <w:footnote w:type="continuationSeparator" w:id="0">
    <w:p w:rsidR="00113B4C" w:rsidRDefault="00113B4C" w:rsidP="00E33F5D">
      <w:pPr>
        <w:spacing w:before="0"/>
      </w:pPr>
      <w:r>
        <w:continuationSeparator/>
      </w:r>
    </w:p>
  </w:footnote>
  <w:footnote w:id="1">
    <w:p w:rsidR="00E1227E" w:rsidRDefault="00E1227E" w:rsidP="00E34CF1">
      <w:pPr>
        <w:pStyle w:val="FootnoteText"/>
      </w:pPr>
      <w:r>
        <w:rPr>
          <w:rStyle w:val="FootnoteReference"/>
        </w:rPr>
        <w:footnoteRef/>
      </w:r>
      <w:r>
        <w:t xml:space="preserve"> Health Protection Agency. Health Protection in the 21</w:t>
      </w:r>
      <w:r w:rsidRPr="00E907C9">
        <w:rPr>
          <w:vertAlign w:val="superscript"/>
        </w:rPr>
        <w:t>st</w:t>
      </w:r>
      <w:r>
        <w:t xml:space="preserve"> Century: Understanding the burden of disease; preparing for the future.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179" w:rsidRDefault="00D75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158326"/>
      <w:docPartObj>
        <w:docPartGallery w:val="Watermarks"/>
        <w:docPartUnique/>
      </w:docPartObj>
    </w:sdtPr>
    <w:sdtEndPr/>
    <w:sdtContent>
      <w:p w:rsidR="00D75179" w:rsidRDefault="00113B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179" w:rsidRDefault="00D7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73B"/>
    <w:multiLevelType w:val="hybridMultilevel"/>
    <w:tmpl w:val="81948B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4365D85"/>
    <w:multiLevelType w:val="hybridMultilevel"/>
    <w:tmpl w:val="128E59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48D6485"/>
    <w:multiLevelType w:val="hybridMultilevel"/>
    <w:tmpl w:val="3F46B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9A5457"/>
    <w:multiLevelType w:val="hybridMultilevel"/>
    <w:tmpl w:val="C1F8C2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37D7E72"/>
    <w:multiLevelType w:val="hybridMultilevel"/>
    <w:tmpl w:val="3216C5E4"/>
    <w:lvl w:ilvl="0" w:tplc="5CA2233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5C3019"/>
    <w:multiLevelType w:val="multilevel"/>
    <w:tmpl w:val="652EF4F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BA1154"/>
    <w:multiLevelType w:val="hybridMultilevel"/>
    <w:tmpl w:val="ED2648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F63435C"/>
    <w:multiLevelType w:val="hybridMultilevel"/>
    <w:tmpl w:val="B50ADC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28A32E2"/>
    <w:multiLevelType w:val="hybridMultilevel"/>
    <w:tmpl w:val="A08CA7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E745736"/>
    <w:multiLevelType w:val="hybridMultilevel"/>
    <w:tmpl w:val="0B30B436"/>
    <w:lvl w:ilvl="0" w:tplc="027244EA">
      <w:start w:val="1"/>
      <w:numFmt w:val="bullet"/>
      <w:pStyle w:val="Normalbulletlis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0" w15:restartNumberingAfterBreak="0">
    <w:nsid w:val="5F82383F"/>
    <w:multiLevelType w:val="hybridMultilevel"/>
    <w:tmpl w:val="F97A4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C1222"/>
    <w:multiLevelType w:val="hybridMultilevel"/>
    <w:tmpl w:val="DEE234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6064060"/>
    <w:multiLevelType w:val="hybridMultilevel"/>
    <w:tmpl w:val="D51ADB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67BC6A81"/>
    <w:multiLevelType w:val="hybridMultilevel"/>
    <w:tmpl w:val="5712D8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EFC1663"/>
    <w:multiLevelType w:val="hybridMultilevel"/>
    <w:tmpl w:val="1486AC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71FE679B"/>
    <w:multiLevelType w:val="hybridMultilevel"/>
    <w:tmpl w:val="15FE03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779AEE00">
      <w:numFmt w:val="bullet"/>
      <w:lvlText w:val="•"/>
      <w:lvlJc w:val="left"/>
      <w:pPr>
        <w:ind w:left="2520" w:hanging="360"/>
      </w:pPr>
      <w:rPr>
        <w:rFonts w:ascii="Arial" w:eastAsia="Times New Roman" w:hAnsi="Arial" w:cs="Arial" w:hint="default"/>
        <w:sz w:val="24"/>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774A43"/>
    <w:multiLevelType w:val="hybridMultilevel"/>
    <w:tmpl w:val="5596D3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CD8450D"/>
    <w:multiLevelType w:val="hybridMultilevel"/>
    <w:tmpl w:val="98F449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E0B3038"/>
    <w:multiLevelType w:val="hybridMultilevel"/>
    <w:tmpl w:val="045699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0"/>
  </w:num>
  <w:num w:numId="2">
    <w:abstractNumId w:val="15"/>
  </w:num>
  <w:num w:numId="3">
    <w:abstractNumId w:val="2"/>
  </w:num>
  <w:num w:numId="4">
    <w:abstractNumId w:val="7"/>
  </w:num>
  <w:num w:numId="5">
    <w:abstractNumId w:val="8"/>
  </w:num>
  <w:num w:numId="6">
    <w:abstractNumId w:val="13"/>
  </w:num>
  <w:num w:numId="7">
    <w:abstractNumId w:val="12"/>
  </w:num>
  <w:num w:numId="8">
    <w:abstractNumId w:val="11"/>
  </w:num>
  <w:num w:numId="9">
    <w:abstractNumId w:val="18"/>
  </w:num>
  <w:num w:numId="10">
    <w:abstractNumId w:val="1"/>
  </w:num>
  <w:num w:numId="11">
    <w:abstractNumId w:val="16"/>
  </w:num>
  <w:num w:numId="12">
    <w:abstractNumId w:val="6"/>
  </w:num>
  <w:num w:numId="13">
    <w:abstractNumId w:val="0"/>
  </w:num>
  <w:num w:numId="14">
    <w:abstractNumId w:val="17"/>
  </w:num>
  <w:num w:numId="15">
    <w:abstractNumId w:val="3"/>
  </w:num>
  <w:num w:numId="16">
    <w:abstractNumId w:val="14"/>
  </w:num>
  <w:num w:numId="17">
    <w:abstractNumId w:val="5"/>
  </w:num>
  <w:num w:numId="18">
    <w:abstractNumId w:val="9"/>
  </w:num>
  <w:num w:numId="19">
    <w:abstractNumId w:val="9"/>
  </w:num>
  <w:num w:numId="20">
    <w:abstractNumId w:val="9"/>
  </w:num>
  <w:num w:numId="21">
    <w:abstractNumId w:val="5"/>
  </w:num>
  <w:num w:numId="22">
    <w:abstractNumId w:val="5"/>
  </w:num>
  <w:num w:numId="23">
    <w:abstractNumId w:val="5"/>
  </w:num>
  <w:num w:numId="24">
    <w:abstractNumId w:val="5"/>
  </w:num>
  <w:num w:numId="25">
    <w:abstractNumId w:val="4"/>
  </w:num>
  <w:num w:numId="26">
    <w:abstractNumId w:val="5"/>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38"/>
    <w:rsid w:val="0001474F"/>
    <w:rsid w:val="00062412"/>
    <w:rsid w:val="00071EED"/>
    <w:rsid w:val="00113B4C"/>
    <w:rsid w:val="00117B57"/>
    <w:rsid w:val="001223A5"/>
    <w:rsid w:val="00126204"/>
    <w:rsid w:val="001F453E"/>
    <w:rsid w:val="00201086"/>
    <w:rsid w:val="00235B9D"/>
    <w:rsid w:val="002452C6"/>
    <w:rsid w:val="002C3605"/>
    <w:rsid w:val="002D4AF7"/>
    <w:rsid w:val="002D6B66"/>
    <w:rsid w:val="003402DF"/>
    <w:rsid w:val="00356C7B"/>
    <w:rsid w:val="00403C8A"/>
    <w:rsid w:val="00447430"/>
    <w:rsid w:val="00490A12"/>
    <w:rsid w:val="004C0882"/>
    <w:rsid w:val="004E26A5"/>
    <w:rsid w:val="00535D19"/>
    <w:rsid w:val="00563FD5"/>
    <w:rsid w:val="00627CC8"/>
    <w:rsid w:val="00644BE2"/>
    <w:rsid w:val="006574B8"/>
    <w:rsid w:val="006A5909"/>
    <w:rsid w:val="0078735D"/>
    <w:rsid w:val="00794186"/>
    <w:rsid w:val="007C1059"/>
    <w:rsid w:val="00840632"/>
    <w:rsid w:val="008979C1"/>
    <w:rsid w:val="008B5CEC"/>
    <w:rsid w:val="008F60DC"/>
    <w:rsid w:val="00920084"/>
    <w:rsid w:val="009239CF"/>
    <w:rsid w:val="00937327"/>
    <w:rsid w:val="009A0BF9"/>
    <w:rsid w:val="009B5A38"/>
    <w:rsid w:val="009C3818"/>
    <w:rsid w:val="00A03669"/>
    <w:rsid w:val="00A627B8"/>
    <w:rsid w:val="00A75947"/>
    <w:rsid w:val="00A8296E"/>
    <w:rsid w:val="00AB7F8A"/>
    <w:rsid w:val="00AC40D5"/>
    <w:rsid w:val="00B31768"/>
    <w:rsid w:val="00B561C9"/>
    <w:rsid w:val="00B94BC8"/>
    <w:rsid w:val="00B978A0"/>
    <w:rsid w:val="00BD1291"/>
    <w:rsid w:val="00C45073"/>
    <w:rsid w:val="00C65906"/>
    <w:rsid w:val="00C65BE0"/>
    <w:rsid w:val="00C70C97"/>
    <w:rsid w:val="00C802C3"/>
    <w:rsid w:val="00CB122C"/>
    <w:rsid w:val="00CF2BB8"/>
    <w:rsid w:val="00D24C19"/>
    <w:rsid w:val="00D656C5"/>
    <w:rsid w:val="00D700EC"/>
    <w:rsid w:val="00D75179"/>
    <w:rsid w:val="00E0194A"/>
    <w:rsid w:val="00E1227E"/>
    <w:rsid w:val="00E33F5D"/>
    <w:rsid w:val="00E34CF1"/>
    <w:rsid w:val="00EB6983"/>
    <w:rsid w:val="00EC5EA1"/>
    <w:rsid w:val="00F46F7F"/>
    <w:rsid w:val="00F93FF5"/>
    <w:rsid w:val="00FC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C0602D0-A643-4CEA-A077-01B6571C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8"/>
    <w:pPr>
      <w:spacing w:before="120"/>
      <w:ind w:left="709"/>
    </w:pPr>
  </w:style>
  <w:style w:type="paragraph" w:styleId="Heading1">
    <w:name w:val="heading 1"/>
    <w:basedOn w:val="Normal"/>
    <w:next w:val="Normal"/>
    <w:link w:val="Heading1Char"/>
    <w:qFormat/>
    <w:rsid w:val="00535D19"/>
    <w:pPr>
      <w:keepNext/>
      <w:numPr>
        <w:numId w:val="17"/>
      </w:numPr>
      <w:spacing w:before="360"/>
      <w:ind w:left="431" w:hanging="431"/>
      <w:outlineLvl w:val="0"/>
    </w:pPr>
    <w:rPr>
      <w:rFonts w:eastAsia="Times New Roman" w:cs="Times New Roman"/>
      <w:b/>
      <w:bCs/>
      <w:sz w:val="24"/>
      <w:szCs w:val="24"/>
    </w:rPr>
  </w:style>
  <w:style w:type="paragraph" w:styleId="Heading2">
    <w:name w:val="heading 2"/>
    <w:basedOn w:val="Normal"/>
    <w:next w:val="Normal"/>
    <w:link w:val="Heading2Char"/>
    <w:qFormat/>
    <w:rsid w:val="009B5A38"/>
    <w:pPr>
      <w:keepNext/>
      <w:numPr>
        <w:ilvl w:val="1"/>
        <w:numId w:val="17"/>
      </w:numPr>
      <w:spacing w:after="60"/>
      <w:outlineLvl w:val="1"/>
    </w:pPr>
    <w:rPr>
      <w:rFonts w:eastAsia="Times New Roman" w:cs="Arial"/>
      <w:iCs/>
      <w:szCs w:val="28"/>
    </w:rPr>
  </w:style>
  <w:style w:type="paragraph" w:styleId="Heading3">
    <w:name w:val="heading 3"/>
    <w:basedOn w:val="Normal"/>
    <w:next w:val="Normal"/>
    <w:link w:val="Heading3Char"/>
    <w:qFormat/>
    <w:rsid w:val="009B5A38"/>
    <w:pPr>
      <w:keepNext/>
      <w:numPr>
        <w:ilvl w:val="2"/>
        <w:numId w:val="17"/>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9B5A38"/>
    <w:pPr>
      <w:keepNext/>
      <w:numPr>
        <w:ilvl w:val="3"/>
        <w:numId w:val="17"/>
      </w:numPr>
      <w:tabs>
        <w:tab w:val="num" w:pos="1080"/>
      </w:tabs>
      <w:jc w:val="both"/>
      <w:outlineLvl w:val="3"/>
    </w:pPr>
    <w:rPr>
      <w:rFonts w:ascii="Times New Roman" w:eastAsia="Times New Roman" w:hAnsi="Times New Roman" w:cs="Times New Roman"/>
      <w:bCs/>
    </w:rPr>
  </w:style>
  <w:style w:type="paragraph" w:styleId="Heading5">
    <w:name w:val="heading 5"/>
    <w:basedOn w:val="Normal"/>
    <w:next w:val="Normal"/>
    <w:link w:val="Heading5Char"/>
    <w:qFormat/>
    <w:rsid w:val="009B5A38"/>
    <w:pPr>
      <w:keepNext/>
      <w:numPr>
        <w:ilvl w:val="4"/>
        <w:numId w:val="17"/>
      </w:numPr>
      <w:spacing w:line="360" w:lineRule="auto"/>
      <w:jc w:val="both"/>
      <w:outlineLvl w:val="4"/>
    </w:pPr>
    <w:rPr>
      <w:rFonts w:ascii="Helvetica" w:eastAsia="Times New Roman" w:hAnsi="Helvetica" w:cs="Times New Roman"/>
      <w:b/>
    </w:rPr>
  </w:style>
  <w:style w:type="paragraph" w:styleId="Heading6">
    <w:name w:val="heading 6"/>
    <w:basedOn w:val="Normal"/>
    <w:next w:val="Normal"/>
    <w:link w:val="Heading6Char"/>
    <w:uiPriority w:val="9"/>
    <w:semiHidden/>
    <w:unhideWhenUsed/>
    <w:qFormat/>
    <w:rsid w:val="009B5A38"/>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5A38"/>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5A38"/>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5A3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D19"/>
    <w:rPr>
      <w:rFonts w:eastAsia="Times New Roman" w:cs="Times New Roman"/>
      <w:b/>
      <w:bCs/>
      <w:sz w:val="24"/>
      <w:szCs w:val="24"/>
    </w:rPr>
  </w:style>
  <w:style w:type="character" w:customStyle="1" w:styleId="Heading2Char">
    <w:name w:val="Heading 2 Char"/>
    <w:basedOn w:val="DefaultParagraphFont"/>
    <w:link w:val="Heading2"/>
    <w:rsid w:val="009B5A38"/>
    <w:rPr>
      <w:rFonts w:eastAsia="Times New Roman" w:cs="Arial"/>
      <w:iCs/>
      <w:szCs w:val="28"/>
    </w:rPr>
  </w:style>
  <w:style w:type="character" w:customStyle="1" w:styleId="Heading3Char">
    <w:name w:val="Heading 3 Char"/>
    <w:basedOn w:val="DefaultParagraphFont"/>
    <w:link w:val="Heading3"/>
    <w:rsid w:val="009B5A38"/>
    <w:rPr>
      <w:rFonts w:ascii="Cambria" w:eastAsia="Times New Roman" w:hAnsi="Cambria" w:cs="Times New Roman"/>
      <w:b/>
      <w:bCs/>
      <w:sz w:val="26"/>
      <w:szCs w:val="26"/>
    </w:rPr>
  </w:style>
  <w:style w:type="character" w:customStyle="1" w:styleId="Heading4Char">
    <w:name w:val="Heading 4 Char"/>
    <w:basedOn w:val="DefaultParagraphFont"/>
    <w:link w:val="Heading4"/>
    <w:rsid w:val="009B5A38"/>
    <w:rPr>
      <w:rFonts w:ascii="Times New Roman" w:eastAsia="Times New Roman" w:hAnsi="Times New Roman" w:cs="Times New Roman"/>
      <w:bCs/>
    </w:rPr>
  </w:style>
  <w:style w:type="character" w:customStyle="1" w:styleId="Heading5Char">
    <w:name w:val="Heading 5 Char"/>
    <w:basedOn w:val="DefaultParagraphFont"/>
    <w:link w:val="Heading5"/>
    <w:rsid w:val="009B5A38"/>
    <w:rPr>
      <w:rFonts w:ascii="Helvetica" w:eastAsia="Times New Roman" w:hAnsi="Helvetica" w:cs="Times New Roman"/>
      <w:b/>
    </w:rPr>
  </w:style>
  <w:style w:type="character" w:customStyle="1" w:styleId="Heading6Char">
    <w:name w:val="Heading 6 Char"/>
    <w:basedOn w:val="DefaultParagraphFont"/>
    <w:link w:val="Heading6"/>
    <w:uiPriority w:val="9"/>
    <w:semiHidden/>
    <w:rsid w:val="009B5A3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B5A3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B5A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5A3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B5A38"/>
    <w:pPr>
      <w:ind w:left="720"/>
      <w:contextualSpacing/>
    </w:pPr>
  </w:style>
  <w:style w:type="paragraph" w:styleId="BodyText">
    <w:name w:val="Body Text"/>
    <w:basedOn w:val="Normal"/>
    <w:link w:val="BodyTextChar"/>
    <w:rsid w:val="009B5A38"/>
    <w:rPr>
      <w:rFonts w:ascii="Times New Roman" w:eastAsia="Times New Roman" w:hAnsi="Times New Roman" w:cs="Times New Roman"/>
      <w:szCs w:val="24"/>
    </w:rPr>
  </w:style>
  <w:style w:type="character" w:customStyle="1" w:styleId="BodyTextChar">
    <w:name w:val="Body Text Char"/>
    <w:basedOn w:val="DefaultParagraphFont"/>
    <w:link w:val="BodyText"/>
    <w:rsid w:val="009B5A38"/>
    <w:rPr>
      <w:rFonts w:ascii="Times New Roman" w:eastAsia="Times New Roman" w:hAnsi="Times New Roman" w:cs="Times New Roman"/>
      <w:szCs w:val="24"/>
    </w:rPr>
  </w:style>
  <w:style w:type="paragraph" w:customStyle="1" w:styleId="Default">
    <w:name w:val="Default"/>
    <w:rsid w:val="009B5A38"/>
    <w:pPr>
      <w:widowControl w:val="0"/>
      <w:autoSpaceDE w:val="0"/>
      <w:autoSpaceDN w:val="0"/>
      <w:adjustRightInd w:val="0"/>
    </w:pPr>
    <w:rPr>
      <w:rFonts w:ascii="Stone Sans" w:eastAsia="Times New Roman" w:hAnsi="Stone Sans" w:cs="Times New Roman"/>
      <w:color w:val="000000"/>
      <w:sz w:val="24"/>
      <w:szCs w:val="24"/>
      <w:lang w:val="en-US"/>
    </w:rPr>
  </w:style>
  <w:style w:type="paragraph" w:styleId="Caption">
    <w:name w:val="caption"/>
    <w:basedOn w:val="Normal"/>
    <w:next w:val="Normal"/>
    <w:uiPriority w:val="35"/>
    <w:unhideWhenUsed/>
    <w:qFormat/>
    <w:rsid w:val="002452C6"/>
    <w:pPr>
      <w:keepNext/>
      <w:pageBreakBefore/>
      <w:spacing w:before="0" w:after="240"/>
    </w:pPr>
    <w:rPr>
      <w:iCs/>
      <w:sz w:val="24"/>
      <w:szCs w:val="18"/>
    </w:rPr>
  </w:style>
  <w:style w:type="paragraph" w:styleId="FootnoteText">
    <w:name w:val="footnote text"/>
    <w:basedOn w:val="Normal"/>
    <w:link w:val="FootnoteTextChar"/>
    <w:uiPriority w:val="99"/>
    <w:semiHidden/>
    <w:unhideWhenUsed/>
    <w:rsid w:val="00E33F5D"/>
    <w:pPr>
      <w:spacing w:before="0"/>
      <w:ind w:left="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33F5D"/>
    <w:rPr>
      <w:rFonts w:asciiTheme="minorHAnsi" w:hAnsiTheme="minorHAnsi"/>
      <w:sz w:val="20"/>
      <w:szCs w:val="20"/>
    </w:rPr>
  </w:style>
  <w:style w:type="character" w:styleId="FootnoteReference">
    <w:name w:val="footnote reference"/>
    <w:basedOn w:val="DefaultParagraphFont"/>
    <w:uiPriority w:val="99"/>
    <w:semiHidden/>
    <w:unhideWhenUsed/>
    <w:rsid w:val="00E33F5D"/>
    <w:rPr>
      <w:vertAlign w:val="superscript"/>
    </w:rPr>
  </w:style>
  <w:style w:type="paragraph" w:customStyle="1" w:styleId="Normalbulletlist">
    <w:name w:val="Normal bullet list"/>
    <w:basedOn w:val="ListParagraph"/>
    <w:qFormat/>
    <w:rsid w:val="00126204"/>
    <w:pPr>
      <w:numPr>
        <w:numId w:val="18"/>
      </w:numPr>
      <w:spacing w:before="60"/>
    </w:pPr>
  </w:style>
  <w:style w:type="table" w:styleId="TableGrid">
    <w:name w:val="Table Grid"/>
    <w:basedOn w:val="TableNormal"/>
    <w:uiPriority w:val="59"/>
    <w:unhideWhenUsed/>
    <w:rsid w:val="00B31768"/>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6A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6A5"/>
    <w:rPr>
      <w:rFonts w:ascii="Segoe UI" w:hAnsi="Segoe UI" w:cs="Segoe UI"/>
      <w:sz w:val="18"/>
      <w:szCs w:val="18"/>
    </w:rPr>
  </w:style>
  <w:style w:type="paragraph" w:styleId="Header">
    <w:name w:val="header"/>
    <w:basedOn w:val="Normal"/>
    <w:link w:val="HeaderChar"/>
    <w:uiPriority w:val="99"/>
    <w:unhideWhenUsed/>
    <w:rsid w:val="00D75179"/>
    <w:pPr>
      <w:tabs>
        <w:tab w:val="center" w:pos="4513"/>
        <w:tab w:val="right" w:pos="9026"/>
      </w:tabs>
      <w:spacing w:before="0"/>
    </w:pPr>
  </w:style>
  <w:style w:type="character" w:customStyle="1" w:styleId="HeaderChar">
    <w:name w:val="Header Char"/>
    <w:basedOn w:val="DefaultParagraphFont"/>
    <w:link w:val="Header"/>
    <w:uiPriority w:val="99"/>
    <w:rsid w:val="00D75179"/>
  </w:style>
  <w:style w:type="paragraph" w:styleId="Footer">
    <w:name w:val="footer"/>
    <w:basedOn w:val="Normal"/>
    <w:link w:val="FooterChar"/>
    <w:uiPriority w:val="99"/>
    <w:unhideWhenUsed/>
    <w:rsid w:val="00D75179"/>
    <w:pPr>
      <w:tabs>
        <w:tab w:val="center" w:pos="4513"/>
        <w:tab w:val="right" w:pos="9026"/>
      </w:tabs>
      <w:spacing w:before="0"/>
    </w:pPr>
  </w:style>
  <w:style w:type="character" w:customStyle="1" w:styleId="FooterChar">
    <w:name w:val="Footer Char"/>
    <w:basedOn w:val="DefaultParagraphFont"/>
    <w:link w:val="Footer"/>
    <w:uiPriority w:val="99"/>
    <w:rsid w:val="00D7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5EE8-2D5A-4A0C-A819-A412E403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5648</Words>
  <Characters>32197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dc:description/>
  <cp:lastModifiedBy>Jo Wheeler</cp:lastModifiedBy>
  <cp:revision>2</cp:revision>
  <dcterms:created xsi:type="dcterms:W3CDTF">2017-08-14T11:08:00Z</dcterms:created>
  <dcterms:modified xsi:type="dcterms:W3CDTF">2017-08-14T11:08:00Z</dcterms:modified>
</cp:coreProperties>
</file>