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FB1A" w14:textId="63C5C6B4" w:rsidR="00996221" w:rsidRPr="00B16DCC" w:rsidRDefault="00053145" w:rsidP="00B16DCC">
      <w:pPr>
        <w:jc w:val="center"/>
        <w:rPr>
          <w:sz w:val="28"/>
          <w:szCs w:val="28"/>
        </w:rPr>
      </w:pPr>
      <w:r>
        <w:rPr>
          <w:sz w:val="28"/>
          <w:szCs w:val="28"/>
        </w:rPr>
        <w:t>Demonstration</w:t>
      </w:r>
      <w:r w:rsidR="001F4449" w:rsidRPr="00B16DCC">
        <w:rPr>
          <w:sz w:val="28"/>
          <w:szCs w:val="28"/>
        </w:rPr>
        <w:t xml:space="preserve"> </w:t>
      </w:r>
      <w:r w:rsidR="003B0EC5" w:rsidRPr="00B16DCC">
        <w:rPr>
          <w:sz w:val="28"/>
          <w:szCs w:val="28"/>
        </w:rPr>
        <w:t xml:space="preserve">and maintenance </w:t>
      </w:r>
      <w:r w:rsidR="001F4449" w:rsidRPr="00B16DCC">
        <w:rPr>
          <w:sz w:val="28"/>
          <w:szCs w:val="28"/>
        </w:rPr>
        <w:t>of competenc</w:t>
      </w:r>
      <w:r w:rsidR="00041CD4">
        <w:rPr>
          <w:sz w:val="28"/>
          <w:szCs w:val="28"/>
        </w:rPr>
        <w:t>y</w:t>
      </w:r>
      <w:r w:rsidR="001F4449" w:rsidRPr="00B16DCC">
        <w:rPr>
          <w:sz w:val="28"/>
          <w:szCs w:val="28"/>
        </w:rPr>
        <w:t xml:space="preserve"> by </w:t>
      </w:r>
      <w:r w:rsidR="009D5FD4">
        <w:rPr>
          <w:sz w:val="28"/>
          <w:szCs w:val="28"/>
        </w:rPr>
        <w:t xml:space="preserve">NHS </w:t>
      </w:r>
      <w:r w:rsidR="001F4449" w:rsidRPr="00B16DCC">
        <w:rPr>
          <w:sz w:val="28"/>
          <w:szCs w:val="28"/>
        </w:rPr>
        <w:t>consultants</w:t>
      </w:r>
      <w:r w:rsidR="00055D4C">
        <w:rPr>
          <w:sz w:val="28"/>
          <w:szCs w:val="28"/>
        </w:rPr>
        <w:t xml:space="preserve"> and specialty</w:t>
      </w:r>
      <w:r w:rsidR="0092076F">
        <w:rPr>
          <w:sz w:val="28"/>
          <w:szCs w:val="28"/>
        </w:rPr>
        <w:t>/specialist</w:t>
      </w:r>
      <w:r w:rsidR="00055D4C">
        <w:rPr>
          <w:sz w:val="28"/>
          <w:szCs w:val="28"/>
        </w:rPr>
        <w:t xml:space="preserve"> doctors</w:t>
      </w:r>
      <w:r w:rsidR="001F4449" w:rsidRPr="00B16DCC">
        <w:rPr>
          <w:sz w:val="28"/>
          <w:szCs w:val="28"/>
        </w:rPr>
        <w:t xml:space="preserve"> in medical microbiology</w:t>
      </w:r>
      <w:r w:rsidR="00216CEB">
        <w:rPr>
          <w:sz w:val="28"/>
          <w:szCs w:val="28"/>
        </w:rPr>
        <w:t xml:space="preserve"> and virology</w:t>
      </w:r>
      <w:r w:rsidR="002913D9">
        <w:rPr>
          <w:sz w:val="28"/>
          <w:szCs w:val="28"/>
        </w:rPr>
        <w:t xml:space="preserve">: recommendations for departments and </w:t>
      </w:r>
      <w:r w:rsidR="00EB4388">
        <w:rPr>
          <w:sz w:val="28"/>
          <w:szCs w:val="28"/>
        </w:rPr>
        <w:t xml:space="preserve">clinicians and an </w:t>
      </w:r>
      <w:r w:rsidR="002913D9">
        <w:rPr>
          <w:sz w:val="28"/>
          <w:szCs w:val="28"/>
        </w:rPr>
        <w:t>e</w:t>
      </w:r>
      <w:r w:rsidR="002913D9" w:rsidRPr="002913D9">
        <w:rPr>
          <w:sz w:val="28"/>
          <w:szCs w:val="28"/>
        </w:rPr>
        <w:t xml:space="preserve">xample of the </w:t>
      </w:r>
      <w:r w:rsidR="00EB4388">
        <w:rPr>
          <w:sz w:val="28"/>
          <w:szCs w:val="28"/>
        </w:rPr>
        <w:t>r</w:t>
      </w:r>
      <w:r w:rsidR="002913D9" w:rsidRPr="002913D9">
        <w:rPr>
          <w:sz w:val="28"/>
          <w:szCs w:val="28"/>
        </w:rPr>
        <w:t xml:space="preserve">ecord of </w:t>
      </w:r>
      <w:r w:rsidR="00EB4388">
        <w:rPr>
          <w:sz w:val="28"/>
          <w:szCs w:val="28"/>
        </w:rPr>
        <w:t>o</w:t>
      </w:r>
      <w:r w:rsidR="002913D9" w:rsidRPr="002913D9">
        <w:rPr>
          <w:sz w:val="28"/>
          <w:szCs w:val="28"/>
        </w:rPr>
        <w:t xml:space="preserve">utcome of </w:t>
      </w:r>
      <w:r w:rsidR="00EB4388">
        <w:rPr>
          <w:sz w:val="28"/>
          <w:szCs w:val="28"/>
        </w:rPr>
        <w:t>c</w:t>
      </w:r>
      <w:r w:rsidR="002913D9" w:rsidRPr="002913D9">
        <w:rPr>
          <w:sz w:val="28"/>
          <w:szCs w:val="28"/>
        </w:rPr>
        <w:t>onsultant/</w:t>
      </w:r>
      <w:r w:rsidR="00EB4388">
        <w:rPr>
          <w:sz w:val="28"/>
          <w:szCs w:val="28"/>
        </w:rPr>
        <w:t>s</w:t>
      </w:r>
      <w:r w:rsidR="002913D9" w:rsidRPr="002913D9">
        <w:rPr>
          <w:sz w:val="28"/>
          <w:szCs w:val="28"/>
        </w:rPr>
        <w:t xml:space="preserve">peciality </w:t>
      </w:r>
      <w:r w:rsidR="00EB4388">
        <w:rPr>
          <w:sz w:val="28"/>
          <w:szCs w:val="28"/>
        </w:rPr>
        <w:t>d</w:t>
      </w:r>
      <w:r w:rsidR="002913D9" w:rsidRPr="002913D9">
        <w:rPr>
          <w:sz w:val="28"/>
          <w:szCs w:val="28"/>
        </w:rPr>
        <w:t xml:space="preserve">octor </w:t>
      </w:r>
      <w:r w:rsidR="00EB4388">
        <w:rPr>
          <w:sz w:val="28"/>
          <w:szCs w:val="28"/>
        </w:rPr>
        <w:t>c</w:t>
      </w:r>
      <w:r w:rsidR="002913D9" w:rsidRPr="002913D9">
        <w:rPr>
          <w:sz w:val="28"/>
          <w:szCs w:val="28"/>
        </w:rPr>
        <w:t>ompetenc</w:t>
      </w:r>
      <w:r w:rsidR="00041CD4">
        <w:rPr>
          <w:sz w:val="28"/>
          <w:szCs w:val="28"/>
        </w:rPr>
        <w:t>y</w:t>
      </w:r>
      <w:r w:rsidR="002913D9" w:rsidRPr="002913D9">
        <w:rPr>
          <w:sz w:val="28"/>
          <w:szCs w:val="28"/>
        </w:rPr>
        <w:t xml:space="preserve"> assessment document</w:t>
      </w:r>
      <w:r w:rsidR="009D5FD4">
        <w:rPr>
          <w:sz w:val="28"/>
          <w:szCs w:val="28"/>
        </w:rPr>
        <w:t>.</w:t>
      </w:r>
    </w:p>
    <w:p w14:paraId="7EC0F998" w14:textId="77777777" w:rsidR="001F4449" w:rsidRDefault="001F4449"/>
    <w:p w14:paraId="4C3444AA" w14:textId="77777777" w:rsidR="00943114" w:rsidRDefault="00053145" w:rsidP="0002603C">
      <w:pPr>
        <w:spacing w:after="120"/>
      </w:pPr>
      <w:r>
        <w:t>The first version of this paper</w:t>
      </w:r>
      <w:r w:rsidR="001F4449">
        <w:t xml:space="preserve"> was developed by members of the Clinical Services Committee of the British Infection Association</w:t>
      </w:r>
      <w:r>
        <w:t>. Following consultation</w:t>
      </w:r>
      <w:r w:rsidR="007C05E1">
        <w:t xml:space="preserve"> with the Royal College of Pathologists and United Kingdom Accreditation Service</w:t>
      </w:r>
      <w:r>
        <w:t xml:space="preserve"> the first version was </w:t>
      </w:r>
      <w:r w:rsidR="007C05E1">
        <w:t>issued in final form in January 2018.</w:t>
      </w:r>
    </w:p>
    <w:p w14:paraId="0C3AFEC2" w14:textId="787AAD5B" w:rsidR="00053145" w:rsidRDefault="00053145" w:rsidP="0002603C">
      <w:pPr>
        <w:spacing w:after="120"/>
      </w:pPr>
      <w:r>
        <w:t xml:space="preserve">This version has been revised to include </w:t>
      </w:r>
      <w:r w:rsidR="001B4285">
        <w:t>consultant clinical scientist given their parity with medical consultants in infection with regards to medical microbiology and virology competenc</w:t>
      </w:r>
      <w:r w:rsidR="00041CD4">
        <w:t>y</w:t>
      </w:r>
      <w:r w:rsidR="001B4285">
        <w:t>.</w:t>
      </w:r>
    </w:p>
    <w:p w14:paraId="5859270A" w14:textId="77777777" w:rsidR="00EB4388" w:rsidRPr="0092076F" w:rsidRDefault="00EB4388" w:rsidP="0092076F">
      <w:pPr>
        <w:spacing w:after="120"/>
        <w:rPr>
          <w:b/>
          <w:bCs/>
        </w:rPr>
      </w:pPr>
      <w:r w:rsidRPr="0092076F">
        <w:rPr>
          <w:b/>
          <w:bCs/>
        </w:rPr>
        <w:t>Summary of recommendations</w:t>
      </w:r>
    </w:p>
    <w:p w14:paraId="6F3B8E6F" w14:textId="0E4858CC" w:rsidR="00EB4388" w:rsidRPr="00C73FF8" w:rsidRDefault="00EB4388" w:rsidP="00EB4388">
      <w:pPr>
        <w:spacing w:after="120"/>
        <w:rPr>
          <w:i/>
        </w:rPr>
      </w:pPr>
      <w:r w:rsidRPr="00C73FF8">
        <w:rPr>
          <w:i/>
        </w:rPr>
        <w:t>Responsibilities of the consultant</w:t>
      </w:r>
      <w:r>
        <w:rPr>
          <w:i/>
        </w:rPr>
        <w:t>/specialty</w:t>
      </w:r>
      <w:r w:rsidR="0092076F">
        <w:rPr>
          <w:i/>
        </w:rPr>
        <w:t>/specialist</w:t>
      </w:r>
      <w:r>
        <w:rPr>
          <w:i/>
        </w:rPr>
        <w:t xml:space="preserve"> doctor.</w:t>
      </w:r>
    </w:p>
    <w:p w14:paraId="5AD4366D" w14:textId="64B66FF1" w:rsidR="00EB4388" w:rsidRPr="0092076F" w:rsidRDefault="00EB4388" w:rsidP="00EB4388">
      <w:pPr>
        <w:pStyle w:val="ListParagraph"/>
        <w:numPr>
          <w:ilvl w:val="0"/>
          <w:numId w:val="3"/>
        </w:numPr>
        <w:spacing w:after="120"/>
      </w:pPr>
      <w:r w:rsidRPr="0092076F">
        <w:t>To engage with the organisation’s appraisal process</w:t>
      </w:r>
      <w:r w:rsidR="00215C4F" w:rsidRPr="0092076F">
        <w:t xml:space="preserve"> for their designation </w:t>
      </w:r>
      <w:r w:rsidR="0092076F" w:rsidRPr="0092076F">
        <w:t>e.g.,</w:t>
      </w:r>
      <w:r w:rsidR="00215C4F" w:rsidRPr="0092076F">
        <w:t xml:space="preserve"> medical consultant, consultant clinical scientist</w:t>
      </w:r>
      <w:r w:rsidR="0043521B">
        <w:t xml:space="preserve">, </w:t>
      </w:r>
      <w:r w:rsidR="0043521B">
        <w:rPr>
          <w:iCs/>
        </w:rPr>
        <w:t>s</w:t>
      </w:r>
      <w:r w:rsidR="0043521B" w:rsidRPr="0092076F">
        <w:rPr>
          <w:iCs/>
        </w:rPr>
        <w:t>pecialty</w:t>
      </w:r>
      <w:r w:rsidR="0043521B">
        <w:rPr>
          <w:iCs/>
        </w:rPr>
        <w:t>/specialist</w:t>
      </w:r>
      <w:r w:rsidR="0043521B" w:rsidRPr="0092076F">
        <w:rPr>
          <w:iCs/>
        </w:rPr>
        <w:t xml:space="preserve"> doctor</w:t>
      </w:r>
      <w:r w:rsidRPr="0092076F">
        <w:t>.</w:t>
      </w:r>
    </w:p>
    <w:p w14:paraId="1A38E86A" w14:textId="76EAB768" w:rsidR="00EB4388" w:rsidRPr="0092076F" w:rsidRDefault="00EB4388" w:rsidP="00EB4388">
      <w:pPr>
        <w:pStyle w:val="ListParagraph"/>
        <w:numPr>
          <w:ilvl w:val="0"/>
          <w:numId w:val="3"/>
        </w:numPr>
        <w:spacing w:after="120"/>
      </w:pPr>
      <w:r w:rsidRPr="0092076F">
        <w:t xml:space="preserve">To ensure that they have self-assessed themselves to </w:t>
      </w:r>
      <w:r w:rsidR="009E24A9">
        <w:t>have</w:t>
      </w:r>
      <w:r w:rsidRPr="0092076F">
        <w:t xml:space="preserve"> competen</w:t>
      </w:r>
      <w:r w:rsidR="009E24A9">
        <w:t>cy</w:t>
      </w:r>
      <w:r w:rsidRPr="0092076F">
        <w:t xml:space="preserve"> across the whole of their scope of practice as part of the appraisal process.</w:t>
      </w:r>
    </w:p>
    <w:p w14:paraId="1438E4CE" w14:textId="0F986F7C" w:rsidR="00EB4388" w:rsidRPr="0092076F" w:rsidRDefault="00EB4388" w:rsidP="00EB4388">
      <w:pPr>
        <w:pStyle w:val="ListParagraph"/>
        <w:numPr>
          <w:ilvl w:val="0"/>
          <w:numId w:val="3"/>
        </w:numPr>
        <w:spacing w:after="120"/>
      </w:pPr>
      <w:r w:rsidRPr="0092076F">
        <w:t>To plan and undertake CPD that covers the whole of one’s scope of practice</w:t>
      </w:r>
      <w:r w:rsidR="00215C4F" w:rsidRPr="0092076F">
        <w:t xml:space="preserve"> ideally using a recognised portfolio, such as those provided by the Royal Colleges</w:t>
      </w:r>
      <w:r w:rsidRPr="0092076F">
        <w:t>.</w:t>
      </w:r>
    </w:p>
    <w:p w14:paraId="706987C8" w14:textId="1922E516" w:rsidR="00EB4388" w:rsidRPr="0092076F" w:rsidRDefault="00EB4388" w:rsidP="00215C4F">
      <w:pPr>
        <w:pStyle w:val="ListParagraph"/>
        <w:numPr>
          <w:ilvl w:val="0"/>
          <w:numId w:val="3"/>
        </w:numPr>
        <w:spacing w:after="120"/>
      </w:pPr>
      <w:r w:rsidRPr="0092076F">
        <w:t xml:space="preserve">To engage with the </w:t>
      </w:r>
      <w:r w:rsidR="000B342A" w:rsidRPr="0092076F">
        <w:t xml:space="preserve">appraisal and </w:t>
      </w:r>
      <w:r w:rsidRPr="0092076F">
        <w:t>competenc</w:t>
      </w:r>
      <w:r w:rsidR="00041CD4">
        <w:t xml:space="preserve">y </w:t>
      </w:r>
      <w:r w:rsidRPr="0092076F">
        <w:t>assurance</w:t>
      </w:r>
      <w:r w:rsidR="00AE3E6C" w:rsidRPr="0092076F">
        <w:t>s</w:t>
      </w:r>
      <w:r w:rsidRPr="0092076F">
        <w:t xml:space="preserve"> process established locally</w:t>
      </w:r>
      <w:r w:rsidR="00215C4F" w:rsidRPr="0092076F">
        <w:t>, making it available to the Responsible Officer and/or external assessment bodies with a legitimate justification to review the information, in</w:t>
      </w:r>
      <w:r w:rsidRPr="0092076F">
        <w:t xml:space="preserve"> accordance with the department’s competenc</w:t>
      </w:r>
      <w:r w:rsidR="00041CD4">
        <w:t>y</w:t>
      </w:r>
      <w:r w:rsidRPr="0092076F">
        <w:t xml:space="preserve"> assurance processes.</w:t>
      </w:r>
    </w:p>
    <w:p w14:paraId="1B8AF3FA" w14:textId="45F1528F" w:rsidR="00EB4388" w:rsidRDefault="00EB4388" w:rsidP="00EB4388">
      <w:pPr>
        <w:pStyle w:val="ListParagraph"/>
        <w:numPr>
          <w:ilvl w:val="0"/>
          <w:numId w:val="3"/>
        </w:numPr>
        <w:spacing w:after="120"/>
      </w:pPr>
      <w:r w:rsidRPr="0092076F">
        <w:t>For consultants/specialty doctors</w:t>
      </w:r>
      <w:r>
        <w:t xml:space="preserve"> who have been out of practice for 3 months or greater, or for doctors/</w:t>
      </w:r>
      <w:r w:rsidRPr="00EE2634">
        <w:t>clinicians</w:t>
      </w:r>
      <w:r>
        <w:t xml:space="preserve"> who have practiced only infrequently during the previous 3 months:</w:t>
      </w:r>
    </w:p>
    <w:p w14:paraId="3CBE7C16" w14:textId="77777777" w:rsidR="00EB4388" w:rsidRDefault="00EB4388" w:rsidP="00EB4388">
      <w:pPr>
        <w:pStyle w:val="ListParagraph"/>
        <w:numPr>
          <w:ilvl w:val="2"/>
          <w:numId w:val="5"/>
        </w:numPr>
        <w:spacing w:after="120"/>
        <w:ind w:left="1134"/>
      </w:pPr>
      <w:r>
        <w:t>To advise the employer / hospital / laboratory of the extent of their recent clinical practice</w:t>
      </w:r>
    </w:p>
    <w:p w14:paraId="72AB2FA8" w14:textId="2E242214" w:rsidR="00EB4388" w:rsidRDefault="00EB4388" w:rsidP="00EB4388">
      <w:pPr>
        <w:pStyle w:val="ListParagraph"/>
        <w:numPr>
          <w:ilvl w:val="2"/>
          <w:numId w:val="5"/>
        </w:numPr>
        <w:spacing w:after="120"/>
        <w:ind w:left="1134"/>
      </w:pPr>
      <w:r>
        <w:t xml:space="preserve">To have self-assessed their practice and to </w:t>
      </w:r>
      <w:proofErr w:type="gramStart"/>
      <w:r>
        <w:t>take action</w:t>
      </w:r>
      <w:proofErr w:type="gramEnd"/>
      <w:r>
        <w:t xml:space="preserve"> in accordance with </w:t>
      </w:r>
      <w:proofErr w:type="spellStart"/>
      <w:r>
        <w:t>AoMRCs</w:t>
      </w:r>
      <w:proofErr w:type="spellEnd"/>
      <w:r>
        <w:t>’ guidance.</w:t>
      </w:r>
    </w:p>
    <w:p w14:paraId="2C502DCD" w14:textId="77777777" w:rsidR="00EB4388" w:rsidRDefault="00EB4388" w:rsidP="00EB4388">
      <w:pPr>
        <w:pStyle w:val="ListParagraph"/>
        <w:numPr>
          <w:ilvl w:val="0"/>
          <w:numId w:val="3"/>
        </w:numPr>
        <w:spacing w:after="120"/>
      </w:pPr>
      <w:r>
        <w:t>Participate actively in peer review processes and ensure that participation is recorded fairly.</w:t>
      </w:r>
    </w:p>
    <w:p w14:paraId="1AF9EF5C" w14:textId="77777777" w:rsidR="00EB4388" w:rsidRDefault="00EB4388" w:rsidP="00966931">
      <w:pPr>
        <w:spacing w:after="120"/>
        <w:ind w:left="360"/>
      </w:pPr>
    </w:p>
    <w:p w14:paraId="016066C1" w14:textId="76DF84E5" w:rsidR="00EB4388" w:rsidRPr="00C73FF8" w:rsidRDefault="00EB4388" w:rsidP="00EB4388">
      <w:pPr>
        <w:spacing w:after="120"/>
        <w:rPr>
          <w:i/>
        </w:rPr>
      </w:pPr>
      <w:r w:rsidRPr="00C73FF8">
        <w:rPr>
          <w:i/>
        </w:rPr>
        <w:t>Responsibilities of the hospital or laboratory</w:t>
      </w:r>
      <w:r>
        <w:rPr>
          <w:i/>
        </w:rPr>
        <w:t>/department</w:t>
      </w:r>
    </w:p>
    <w:p w14:paraId="6A52B4C8" w14:textId="4CCADF79" w:rsidR="00EB4388" w:rsidRDefault="00EB4388" w:rsidP="00EB4388">
      <w:pPr>
        <w:spacing w:after="120"/>
      </w:pPr>
      <w:r>
        <w:t>Irrespective whether the consultant/specialty</w:t>
      </w:r>
      <w:r w:rsidR="0043521B">
        <w:t>/specialist</w:t>
      </w:r>
      <w:r>
        <w:t xml:space="preserve"> doctor is employed directly by the hospital or laboratory:</w:t>
      </w:r>
    </w:p>
    <w:p w14:paraId="0F8CE3F7" w14:textId="2DEB32FA" w:rsidR="00966931" w:rsidRPr="0092076F" w:rsidRDefault="00EB4388" w:rsidP="00EB4388">
      <w:pPr>
        <w:pStyle w:val="ListParagraph"/>
        <w:numPr>
          <w:ilvl w:val="0"/>
          <w:numId w:val="3"/>
        </w:numPr>
        <w:spacing w:after="120"/>
      </w:pPr>
      <w:r w:rsidRPr="0092076F">
        <w:t>To establish and document a framework that describes the organisation’s approach to determination of competenc</w:t>
      </w:r>
      <w:r w:rsidR="00041CD4">
        <w:t>y</w:t>
      </w:r>
      <w:r w:rsidRPr="0092076F">
        <w:t xml:space="preserve"> of all consultants</w:t>
      </w:r>
      <w:r w:rsidR="0043521B" w:rsidRPr="0092076F">
        <w:rPr>
          <w:iCs/>
        </w:rPr>
        <w:t>/specialty</w:t>
      </w:r>
      <w:r w:rsidR="0043521B">
        <w:rPr>
          <w:iCs/>
        </w:rPr>
        <w:t>/specialist</w:t>
      </w:r>
      <w:r w:rsidR="0043521B" w:rsidRPr="0092076F">
        <w:rPr>
          <w:iCs/>
        </w:rPr>
        <w:t xml:space="preserve"> doctors</w:t>
      </w:r>
      <w:r w:rsidRPr="0092076F">
        <w:t>. This process must include all consultants</w:t>
      </w:r>
      <w:r w:rsidR="0043521B" w:rsidRPr="0092076F">
        <w:rPr>
          <w:iCs/>
        </w:rPr>
        <w:t>/speciality</w:t>
      </w:r>
      <w:r w:rsidR="0043521B">
        <w:rPr>
          <w:iCs/>
        </w:rPr>
        <w:t>/specialist</w:t>
      </w:r>
      <w:r w:rsidR="0043521B" w:rsidRPr="0092076F">
        <w:rPr>
          <w:iCs/>
        </w:rPr>
        <w:t xml:space="preserve"> doctors</w:t>
      </w:r>
      <w:r w:rsidRPr="0092076F">
        <w:t>, in particular those with temporary or short-term contracts. The process should include all consultants</w:t>
      </w:r>
      <w:r w:rsidR="0043521B" w:rsidRPr="0092076F">
        <w:rPr>
          <w:iCs/>
        </w:rPr>
        <w:t>/speciality</w:t>
      </w:r>
      <w:r w:rsidR="0043521B">
        <w:rPr>
          <w:iCs/>
        </w:rPr>
        <w:t>/specialist</w:t>
      </w:r>
      <w:r w:rsidR="0043521B" w:rsidRPr="0092076F">
        <w:rPr>
          <w:iCs/>
        </w:rPr>
        <w:t xml:space="preserve"> doctors</w:t>
      </w:r>
      <w:r w:rsidRPr="0092076F">
        <w:t xml:space="preserve"> whose responsibility includes provision of laboratory advice, irrespective of employing authority</w:t>
      </w:r>
      <w:r w:rsidR="005B1B78" w:rsidRPr="0092076F">
        <w:t>, specialty listed on the General Medical Council or HCPC registration</w:t>
      </w:r>
      <w:r w:rsidRPr="0092076F">
        <w:t>.</w:t>
      </w:r>
    </w:p>
    <w:p w14:paraId="303D2987" w14:textId="77777777" w:rsidR="00966931" w:rsidRPr="00966931" w:rsidRDefault="00CD6697" w:rsidP="00CD6697">
      <w:pPr>
        <w:pStyle w:val="ListParagraph"/>
        <w:numPr>
          <w:ilvl w:val="0"/>
          <w:numId w:val="3"/>
        </w:numPr>
        <w:spacing w:after="120"/>
        <w:rPr>
          <w:iCs/>
        </w:rPr>
      </w:pPr>
      <w:r w:rsidRPr="0092076F">
        <w:rPr>
          <w:iCs/>
        </w:rPr>
        <w:t xml:space="preserve">The Association recommends that employing organisations ensure that all substantive </w:t>
      </w:r>
    </w:p>
    <w:p w14:paraId="775D449A" w14:textId="77777777" w:rsidR="00966931" w:rsidRPr="00966931" w:rsidRDefault="00966931" w:rsidP="00966931">
      <w:pPr>
        <w:pStyle w:val="ListParagraph"/>
        <w:spacing w:after="120"/>
        <w:rPr>
          <w:iCs/>
        </w:rPr>
      </w:pPr>
    </w:p>
    <w:p w14:paraId="1FC3CEC0" w14:textId="34E78098" w:rsidR="00CD6697" w:rsidRPr="00966931" w:rsidRDefault="00CD6697" w:rsidP="00966931">
      <w:pPr>
        <w:spacing w:after="120"/>
        <w:ind w:left="720"/>
        <w:rPr>
          <w:i/>
        </w:rPr>
      </w:pPr>
      <w:r w:rsidRPr="00966931">
        <w:rPr>
          <w:iCs/>
        </w:rPr>
        <w:lastRenderedPageBreak/>
        <w:t>appointment committees ideally include a representative from the Royal College of</w:t>
      </w:r>
      <w:r w:rsidRPr="00966931">
        <w:rPr>
          <w:i/>
        </w:rPr>
        <w:t xml:space="preserve"> </w:t>
      </w:r>
      <w:r w:rsidRPr="00966931">
        <w:rPr>
          <w:iCs/>
        </w:rPr>
        <w:t>Pathologists or equivalent, in line with expected roles.</w:t>
      </w:r>
    </w:p>
    <w:p w14:paraId="52F2E206" w14:textId="7315603F" w:rsidR="00CD6697" w:rsidRPr="0092076F" w:rsidRDefault="00CD6697" w:rsidP="00CD6697">
      <w:pPr>
        <w:pStyle w:val="ListParagraph"/>
        <w:numPr>
          <w:ilvl w:val="0"/>
          <w:numId w:val="3"/>
        </w:numPr>
        <w:spacing w:after="120"/>
      </w:pPr>
      <w:r w:rsidRPr="0092076F">
        <w:rPr>
          <w:iCs/>
        </w:rPr>
        <w:t>All appointments of locums or honorary consultants</w:t>
      </w:r>
      <w:r w:rsidR="0043521B" w:rsidRPr="0092076F">
        <w:rPr>
          <w:iCs/>
        </w:rPr>
        <w:t>/specialty</w:t>
      </w:r>
      <w:r w:rsidR="0043521B">
        <w:rPr>
          <w:iCs/>
        </w:rPr>
        <w:t>/specialist</w:t>
      </w:r>
      <w:r w:rsidR="0043521B" w:rsidRPr="0092076F">
        <w:rPr>
          <w:iCs/>
        </w:rPr>
        <w:t xml:space="preserve"> doctors</w:t>
      </w:r>
      <w:r w:rsidRPr="0092076F">
        <w:rPr>
          <w:iCs/>
        </w:rPr>
        <w:t xml:space="preserve"> should include robust review of competenc</w:t>
      </w:r>
      <w:r w:rsidR="00041CD4">
        <w:rPr>
          <w:iCs/>
        </w:rPr>
        <w:t>y</w:t>
      </w:r>
      <w:r w:rsidRPr="0092076F">
        <w:rPr>
          <w:iCs/>
        </w:rPr>
        <w:t xml:space="preserve"> to undertake the role.</w:t>
      </w:r>
    </w:p>
    <w:p w14:paraId="5CE8EC42" w14:textId="17E1C063" w:rsidR="00D027CF" w:rsidRPr="0092076F" w:rsidRDefault="00D027CF" w:rsidP="0092076F">
      <w:pPr>
        <w:pStyle w:val="ListParagraph"/>
        <w:numPr>
          <w:ilvl w:val="0"/>
          <w:numId w:val="3"/>
        </w:numPr>
        <w:spacing w:after="120"/>
      </w:pPr>
      <w:r w:rsidRPr="0092076F">
        <w:t>Ensure that infection service departments which have a role in laboratory diagnostics where consultants</w:t>
      </w:r>
      <w:r w:rsidR="0043521B" w:rsidRPr="0092076F">
        <w:rPr>
          <w:iCs/>
        </w:rPr>
        <w:t>/specialty</w:t>
      </w:r>
      <w:r w:rsidR="0043521B">
        <w:rPr>
          <w:iCs/>
        </w:rPr>
        <w:t>/specialist</w:t>
      </w:r>
      <w:r w:rsidR="0043521B" w:rsidRPr="0092076F">
        <w:rPr>
          <w:iCs/>
        </w:rPr>
        <w:t xml:space="preserve"> doctors</w:t>
      </w:r>
      <w:r w:rsidRPr="0092076F">
        <w:t xml:space="preserve"> whose duties include laboratory oversight and result reporting ideally have consultants certified in microbiology / virology as appropriate who are on the specialist register.</w:t>
      </w:r>
    </w:p>
    <w:p w14:paraId="6EBC8640" w14:textId="14C38C2F" w:rsidR="00D027CF" w:rsidRPr="0092076F" w:rsidRDefault="00D027CF" w:rsidP="0092076F">
      <w:pPr>
        <w:pStyle w:val="ListParagraph"/>
        <w:numPr>
          <w:ilvl w:val="0"/>
          <w:numId w:val="3"/>
        </w:numPr>
        <w:spacing w:after="120"/>
      </w:pPr>
      <w:r w:rsidRPr="0092076F">
        <w:t xml:space="preserve">Where the laboratory does not have sufficient consultants on its staff to undertake the duties normally delivered by a certified specialist in microbiology / virology, the laboratory’s management should ensure that, following a risk assessment, the consultants who deliver this work have been assessed formally to </w:t>
      </w:r>
      <w:r w:rsidR="009E24A9">
        <w:t>have</w:t>
      </w:r>
      <w:r w:rsidRPr="0092076F">
        <w:t xml:space="preserve"> competen</w:t>
      </w:r>
      <w:r w:rsidR="009E24A9">
        <w:t>cy</w:t>
      </w:r>
      <w:r w:rsidRPr="0092076F">
        <w:t xml:space="preserve"> to undertake these tasks at the outset and periodically thereafter (including whenever significant changes are agreed in the consultant’s laboratory duties).</w:t>
      </w:r>
    </w:p>
    <w:p w14:paraId="53E41FF2" w14:textId="02CB667C" w:rsidR="00E44D44" w:rsidRPr="0092076F" w:rsidRDefault="00E44D44" w:rsidP="00E44D44">
      <w:pPr>
        <w:pStyle w:val="ListParagraph"/>
        <w:numPr>
          <w:ilvl w:val="0"/>
          <w:numId w:val="3"/>
        </w:numPr>
        <w:spacing w:after="120"/>
        <w:rPr>
          <w:iCs/>
        </w:rPr>
      </w:pPr>
      <w:r w:rsidRPr="0092076F">
        <w:rPr>
          <w:iCs/>
        </w:rPr>
        <w:t>Infection service departments should ensure that all consultants</w:t>
      </w:r>
      <w:bookmarkStart w:id="0" w:name="_Hlk139361332"/>
      <w:r w:rsidRPr="0092076F">
        <w:rPr>
          <w:iCs/>
        </w:rPr>
        <w:t>/specialty</w:t>
      </w:r>
      <w:r w:rsidR="0043521B">
        <w:rPr>
          <w:iCs/>
        </w:rPr>
        <w:t>/specialist</w:t>
      </w:r>
      <w:r w:rsidRPr="0092076F">
        <w:rPr>
          <w:iCs/>
        </w:rPr>
        <w:t xml:space="preserve"> doctors </w:t>
      </w:r>
      <w:bookmarkEnd w:id="0"/>
      <w:r w:rsidRPr="0092076F">
        <w:rPr>
          <w:iCs/>
        </w:rPr>
        <w:t xml:space="preserve">who are appointed or employed on a temporary basis and whose duties include laboratory oversight and result reporting ideally should be RCPath certified/trained specialists in microbiology and/or virology or hold equivalency. Such staff must be assessed to </w:t>
      </w:r>
      <w:r w:rsidR="00747CE7">
        <w:rPr>
          <w:iCs/>
        </w:rPr>
        <w:t>have</w:t>
      </w:r>
      <w:r w:rsidRPr="0092076F">
        <w:rPr>
          <w:iCs/>
        </w:rPr>
        <w:t xml:space="preserve"> competen</w:t>
      </w:r>
      <w:r w:rsidR="00747CE7">
        <w:rPr>
          <w:iCs/>
        </w:rPr>
        <w:t>cy</w:t>
      </w:r>
      <w:r w:rsidRPr="0092076F">
        <w:rPr>
          <w:iCs/>
        </w:rPr>
        <w:t xml:space="preserve"> to undertake their clinical and laboratory-related duties formally in a robust manner at the outset and at appropriate intervals thereafter.</w:t>
      </w:r>
    </w:p>
    <w:p w14:paraId="11EBF6A3" w14:textId="36B85BE7" w:rsidR="000B342A" w:rsidRPr="0092076F" w:rsidRDefault="000B342A" w:rsidP="000B342A">
      <w:pPr>
        <w:pStyle w:val="ListParagraph"/>
        <w:numPr>
          <w:ilvl w:val="0"/>
          <w:numId w:val="3"/>
        </w:numPr>
        <w:spacing w:after="120"/>
        <w:rPr>
          <w:iCs/>
        </w:rPr>
      </w:pPr>
      <w:r w:rsidRPr="0092076F">
        <w:rPr>
          <w:iCs/>
        </w:rPr>
        <w:t>To ensure arrangements are put into place so that the Responsible Officer notifies the clinical Head of the Laboratory of evidence of any gaps in a consultant’s</w:t>
      </w:r>
      <w:r w:rsidR="0043521B" w:rsidRPr="0092076F">
        <w:rPr>
          <w:iCs/>
        </w:rPr>
        <w:t>/specialty</w:t>
      </w:r>
      <w:r w:rsidR="0043521B">
        <w:rPr>
          <w:iCs/>
        </w:rPr>
        <w:t>/specialist</w:t>
      </w:r>
      <w:r w:rsidR="0043521B" w:rsidRPr="0092076F">
        <w:rPr>
          <w:iCs/>
        </w:rPr>
        <w:t xml:space="preserve"> doctor</w:t>
      </w:r>
      <w:r w:rsidR="0043521B">
        <w:rPr>
          <w:iCs/>
        </w:rPr>
        <w:t>’</w:t>
      </w:r>
      <w:r w:rsidR="0043521B" w:rsidRPr="0092076F">
        <w:rPr>
          <w:iCs/>
        </w:rPr>
        <w:t xml:space="preserve">s </w:t>
      </w:r>
      <w:r w:rsidRPr="0092076F">
        <w:rPr>
          <w:iCs/>
        </w:rPr>
        <w:t>competenc</w:t>
      </w:r>
      <w:r w:rsidR="00041CD4">
        <w:rPr>
          <w:iCs/>
        </w:rPr>
        <w:t>y</w:t>
      </w:r>
      <w:r w:rsidRPr="0092076F">
        <w:rPr>
          <w:iCs/>
        </w:rPr>
        <w:t xml:space="preserve"> identified during the appraisal process, as relevant to their scope of practice. Where consultants who work at multiple organisations and the hospital or laboratory’s management is not the consultant’s Designated Body, robust arrangements must be in place to ensure that the consultant’s competenc</w:t>
      </w:r>
      <w:r w:rsidR="00041CD4">
        <w:rPr>
          <w:iCs/>
        </w:rPr>
        <w:t xml:space="preserve">y </w:t>
      </w:r>
      <w:r w:rsidRPr="0092076F">
        <w:rPr>
          <w:iCs/>
        </w:rPr>
        <w:t>is assessed on an ongoing basis. In the case of short-term locums, it is recommended that the appraisal status of such consultants</w:t>
      </w:r>
      <w:r w:rsidR="0043521B" w:rsidRPr="0092076F">
        <w:rPr>
          <w:iCs/>
        </w:rPr>
        <w:t>/specialty</w:t>
      </w:r>
      <w:r w:rsidR="0043521B">
        <w:rPr>
          <w:iCs/>
        </w:rPr>
        <w:t>/specialist</w:t>
      </w:r>
      <w:r w:rsidR="0043521B" w:rsidRPr="0092076F">
        <w:rPr>
          <w:iCs/>
        </w:rPr>
        <w:t xml:space="preserve"> doctors</w:t>
      </w:r>
      <w:r w:rsidRPr="0092076F">
        <w:rPr>
          <w:iCs/>
        </w:rPr>
        <w:t xml:space="preserve"> is checked carefully, and the hospital or laboratory should ensure that the appraisal undertaken provides suitable evidence to support the local assessment of competenc</w:t>
      </w:r>
      <w:r w:rsidR="00041CD4">
        <w:rPr>
          <w:iCs/>
        </w:rPr>
        <w:t>y</w:t>
      </w:r>
      <w:r w:rsidRPr="0092076F">
        <w:rPr>
          <w:iCs/>
        </w:rPr>
        <w:t xml:space="preserve"> process prior to commencement.</w:t>
      </w:r>
    </w:p>
    <w:p w14:paraId="6C4AD651" w14:textId="7A7CDAA0" w:rsidR="000B342A" w:rsidRPr="0092076F" w:rsidRDefault="000B342A" w:rsidP="000B342A">
      <w:pPr>
        <w:pStyle w:val="ListParagraph"/>
        <w:numPr>
          <w:ilvl w:val="0"/>
          <w:numId w:val="3"/>
        </w:numPr>
        <w:spacing w:after="120"/>
      </w:pPr>
      <w:r w:rsidRPr="0092076F">
        <w:t>Assessments of competenc</w:t>
      </w:r>
      <w:r w:rsidR="00041CD4">
        <w:t>y</w:t>
      </w:r>
      <w:r w:rsidRPr="0092076F">
        <w:t xml:space="preserve"> should be reviewed annually, or sooner if the consultant’s/</w:t>
      </w:r>
      <w:r w:rsidR="0043521B" w:rsidRPr="0092076F">
        <w:rPr>
          <w:iCs/>
        </w:rPr>
        <w:t>specialty</w:t>
      </w:r>
      <w:r w:rsidR="0043521B">
        <w:rPr>
          <w:iCs/>
        </w:rPr>
        <w:t>/specialist</w:t>
      </w:r>
      <w:r w:rsidRPr="0092076F">
        <w:t xml:space="preserve"> doctors’ laboratory duties change.</w:t>
      </w:r>
    </w:p>
    <w:p w14:paraId="3C71EBAC" w14:textId="71615DEC" w:rsidR="00EB4388" w:rsidRPr="0092076F" w:rsidRDefault="00EB4388" w:rsidP="00EB4388">
      <w:pPr>
        <w:pStyle w:val="ListParagraph"/>
        <w:numPr>
          <w:ilvl w:val="0"/>
          <w:numId w:val="3"/>
        </w:numPr>
        <w:spacing w:after="120"/>
      </w:pPr>
      <w:r w:rsidRPr="0092076F">
        <w:t>To undertake assessments of competenc</w:t>
      </w:r>
      <w:r w:rsidR="00041CD4">
        <w:t>y</w:t>
      </w:r>
      <w:r w:rsidRPr="0092076F">
        <w:t xml:space="preserve"> of laboratory duties of trainees and other doctors in grades other than consultants</w:t>
      </w:r>
      <w:r w:rsidR="00BD48CE" w:rsidRPr="0092076F">
        <w:t xml:space="preserve"> and specialty</w:t>
      </w:r>
      <w:r w:rsidR="0043521B">
        <w:t>/specialist</w:t>
      </w:r>
      <w:r w:rsidR="00BD48CE" w:rsidRPr="0092076F">
        <w:t xml:space="preserve"> doctors</w:t>
      </w:r>
      <w:r w:rsidRPr="0092076F">
        <w:t>.</w:t>
      </w:r>
    </w:p>
    <w:p w14:paraId="1ABD6EB6" w14:textId="1E79109D" w:rsidR="00EB4388" w:rsidRPr="0092076F" w:rsidRDefault="00A85892" w:rsidP="00EB4388">
      <w:pPr>
        <w:pStyle w:val="ListParagraph"/>
        <w:numPr>
          <w:ilvl w:val="0"/>
          <w:numId w:val="3"/>
        </w:numPr>
        <w:spacing w:after="120"/>
      </w:pPr>
      <w:r w:rsidRPr="0092076F">
        <w:t>Ensure that formal and robust arrangements are put into place when doctors and clinicians return to practice after periods out of practice.</w:t>
      </w:r>
    </w:p>
    <w:p w14:paraId="704D076B" w14:textId="7005610A" w:rsidR="00EB4388" w:rsidRPr="0092076F" w:rsidRDefault="00AE3E6C" w:rsidP="00EB4388">
      <w:pPr>
        <w:pStyle w:val="ListParagraph"/>
        <w:numPr>
          <w:ilvl w:val="0"/>
          <w:numId w:val="3"/>
        </w:numPr>
        <w:spacing w:after="120"/>
        <w:rPr>
          <w:iCs/>
        </w:rPr>
      </w:pPr>
      <w:r w:rsidRPr="0092076F">
        <w:rPr>
          <w:iCs/>
        </w:rPr>
        <w:t>Review of the quality and detailed content of the CPD portfolio relevant to the service requirements of the post should form an integral part of the process of assessment of competenc</w:t>
      </w:r>
      <w:r w:rsidR="00041CD4">
        <w:rPr>
          <w:iCs/>
        </w:rPr>
        <w:t>y</w:t>
      </w:r>
      <w:r w:rsidRPr="0092076F">
        <w:rPr>
          <w:iCs/>
        </w:rPr>
        <w:t xml:space="preserve"> of a consultant/</w:t>
      </w:r>
      <w:r w:rsidR="0043521B" w:rsidRPr="0092076F">
        <w:rPr>
          <w:iCs/>
        </w:rPr>
        <w:t>specialty</w:t>
      </w:r>
      <w:r w:rsidR="0043521B">
        <w:rPr>
          <w:iCs/>
        </w:rPr>
        <w:t>/specialist</w:t>
      </w:r>
      <w:r w:rsidR="0043521B" w:rsidRPr="0092076F">
        <w:rPr>
          <w:iCs/>
        </w:rPr>
        <w:t xml:space="preserve"> doctor</w:t>
      </w:r>
      <w:r w:rsidRPr="0092076F">
        <w:rPr>
          <w:iCs/>
        </w:rPr>
        <w:t>.</w:t>
      </w:r>
    </w:p>
    <w:p w14:paraId="713177CD" w14:textId="5DE58051" w:rsidR="00C2793E" w:rsidRPr="0092076F" w:rsidRDefault="00EB4388" w:rsidP="00C2793E">
      <w:pPr>
        <w:pStyle w:val="ListParagraph"/>
        <w:numPr>
          <w:ilvl w:val="0"/>
          <w:numId w:val="3"/>
        </w:numPr>
        <w:spacing w:after="120"/>
      </w:pPr>
      <w:bookmarkStart w:id="1" w:name="_Hlk137559384"/>
      <w:r w:rsidRPr="0092076F">
        <w:t>To ensure that the department’s work schedule includes opportunities for peer review at regular intervals as per ISO 151:89</w:t>
      </w:r>
      <w:r w:rsidR="00CF3F27" w:rsidRPr="0092076F">
        <w:t>, as a robust method of demonstrating competenc</w:t>
      </w:r>
      <w:r w:rsidR="00041CD4">
        <w:t>y</w:t>
      </w:r>
      <w:r w:rsidRPr="0092076F">
        <w:t xml:space="preserve">. </w:t>
      </w:r>
      <w:r w:rsidR="00C2793E" w:rsidRPr="0092076F">
        <w:t xml:space="preserve">Due to the variety of different settings, no single model can be recommended. </w:t>
      </w:r>
      <w:r w:rsidRPr="0092076F">
        <w:t xml:space="preserve"> </w:t>
      </w:r>
      <w:bookmarkEnd w:id="1"/>
    </w:p>
    <w:p w14:paraId="0F6278B0" w14:textId="5B00B25F" w:rsidR="00966931" w:rsidRPr="0092076F" w:rsidRDefault="00C2793E" w:rsidP="00966931">
      <w:pPr>
        <w:pStyle w:val="ListParagraph"/>
        <w:numPr>
          <w:ilvl w:val="0"/>
          <w:numId w:val="3"/>
        </w:numPr>
        <w:spacing w:after="120"/>
      </w:pPr>
      <w:r w:rsidRPr="00966931">
        <w:rPr>
          <w:iCs/>
        </w:rPr>
        <w:t>T</w:t>
      </w:r>
      <w:r w:rsidR="00CF3F27" w:rsidRPr="00966931">
        <w:rPr>
          <w:iCs/>
        </w:rPr>
        <w:t xml:space="preserve">o ensure that </w:t>
      </w:r>
      <w:r w:rsidRPr="00966931">
        <w:rPr>
          <w:iCs/>
        </w:rPr>
        <w:t xml:space="preserve">where there are less than three consultants in a department, </w:t>
      </w:r>
      <w:r w:rsidR="00CF3F27" w:rsidRPr="00966931">
        <w:rPr>
          <w:iCs/>
        </w:rPr>
        <w:t xml:space="preserve">arrangements appropriate to the local situation are put into place and consultants are supported to </w:t>
      </w:r>
      <w:r w:rsidR="00CF3F27" w:rsidRPr="00966931">
        <w:rPr>
          <w:iCs/>
        </w:rPr>
        <w:lastRenderedPageBreak/>
        <w:t>participate. This may involve pairing with other infection departments to enable adequate peer review.</w:t>
      </w:r>
    </w:p>
    <w:p w14:paraId="3BB4A1EC" w14:textId="3480D18C" w:rsidR="00CF3F27" w:rsidRPr="00B970CA" w:rsidRDefault="00CF3F27" w:rsidP="00CF3F27">
      <w:pPr>
        <w:pStyle w:val="ListParagraph"/>
        <w:numPr>
          <w:ilvl w:val="0"/>
          <w:numId w:val="3"/>
        </w:numPr>
        <w:spacing w:after="120"/>
      </w:pPr>
      <w:r w:rsidRPr="00B970CA">
        <w:rPr>
          <w:i/>
        </w:rPr>
        <w:t>The Association recommends a minimum of weekly peer review be undertaken, which may be in person, remotely or via a hybrid meeting. Consideration should be given to more frequent meetings where there are newly joined consultants or locums</w:t>
      </w:r>
      <w:r w:rsidR="0043521B">
        <w:rPr>
          <w:i/>
        </w:rPr>
        <w:t>.</w:t>
      </w:r>
      <w:r w:rsidRPr="00B970CA">
        <w:rPr>
          <w:i/>
        </w:rPr>
        <w:t xml:space="preserve"> These must be in line with local and national governance processes. Cases reviewed must be kept anonymously using </w:t>
      </w:r>
      <w:r w:rsidR="002E6DDF">
        <w:rPr>
          <w:i/>
        </w:rPr>
        <w:t xml:space="preserve">encrypted </w:t>
      </w:r>
      <w:r w:rsidRPr="00B970CA">
        <w:rPr>
          <w:i/>
        </w:rPr>
        <w:t>shared files, folders and/or drives, using date and attendance record</w:t>
      </w:r>
      <w:r w:rsidRPr="00B970CA">
        <w:t xml:space="preserve"> </w:t>
      </w:r>
      <w:r w:rsidRPr="00B970CA">
        <w:rPr>
          <w:i/>
          <w:iCs/>
        </w:rPr>
        <w:t>and any recommendations and actions on any potential causes for concern</w:t>
      </w:r>
      <w:r w:rsidRPr="00B970CA">
        <w:rPr>
          <w:i/>
        </w:rPr>
        <w:t>. They must be made available to any internal or external assessment bodies with a legitimate justification to review the information if required</w:t>
      </w:r>
      <w:r w:rsidR="00B10BC4" w:rsidRPr="00B970CA">
        <w:rPr>
          <w:i/>
        </w:rPr>
        <w:t>.</w:t>
      </w:r>
    </w:p>
    <w:p w14:paraId="04FF6C74" w14:textId="77777777" w:rsidR="00EB4388" w:rsidRDefault="00EB4388" w:rsidP="00EB4388">
      <w:pPr>
        <w:spacing w:after="120"/>
      </w:pPr>
    </w:p>
    <w:p w14:paraId="6D687FF4" w14:textId="77777777" w:rsidR="00EB4388" w:rsidRDefault="00EB4388" w:rsidP="0002603C">
      <w:pPr>
        <w:spacing w:after="120"/>
      </w:pPr>
    </w:p>
    <w:p w14:paraId="5F7F6751" w14:textId="77777777" w:rsidR="00971BDD" w:rsidRDefault="00971BDD" w:rsidP="0002603C">
      <w:pPr>
        <w:spacing w:after="120"/>
      </w:pPr>
    </w:p>
    <w:p w14:paraId="2FADD30A" w14:textId="77777777" w:rsidR="00971BDD" w:rsidRDefault="00971BDD" w:rsidP="0002603C">
      <w:pPr>
        <w:spacing w:after="120"/>
      </w:pPr>
    </w:p>
    <w:p w14:paraId="399EDEAF" w14:textId="77777777" w:rsidR="00971BDD" w:rsidRDefault="00971BDD" w:rsidP="0002603C">
      <w:pPr>
        <w:spacing w:after="120"/>
      </w:pPr>
    </w:p>
    <w:p w14:paraId="7281BA54" w14:textId="77777777" w:rsidR="00971BDD" w:rsidRDefault="00971BDD" w:rsidP="0002603C">
      <w:pPr>
        <w:spacing w:after="120"/>
      </w:pPr>
    </w:p>
    <w:p w14:paraId="6BDFC06F" w14:textId="77777777" w:rsidR="00971BDD" w:rsidRDefault="00971BDD" w:rsidP="0002603C">
      <w:pPr>
        <w:spacing w:after="120"/>
      </w:pPr>
    </w:p>
    <w:p w14:paraId="1B81AD1A" w14:textId="77777777" w:rsidR="00971BDD" w:rsidRDefault="00971BDD" w:rsidP="0002603C">
      <w:pPr>
        <w:spacing w:after="120"/>
      </w:pPr>
    </w:p>
    <w:p w14:paraId="3BB03756" w14:textId="77777777" w:rsidR="00971BDD" w:rsidRDefault="00971BDD" w:rsidP="0002603C">
      <w:pPr>
        <w:spacing w:after="120"/>
      </w:pPr>
    </w:p>
    <w:p w14:paraId="6CCA4410" w14:textId="77777777" w:rsidR="00971BDD" w:rsidRDefault="00971BDD" w:rsidP="0002603C">
      <w:pPr>
        <w:spacing w:after="120"/>
      </w:pPr>
    </w:p>
    <w:p w14:paraId="2AFFB8F1" w14:textId="77777777" w:rsidR="00971BDD" w:rsidRDefault="00971BDD" w:rsidP="0002603C">
      <w:pPr>
        <w:spacing w:after="120"/>
      </w:pPr>
    </w:p>
    <w:p w14:paraId="54CF3E72" w14:textId="77777777" w:rsidR="00971BDD" w:rsidRDefault="00971BDD" w:rsidP="0002603C">
      <w:pPr>
        <w:spacing w:after="120"/>
      </w:pPr>
    </w:p>
    <w:p w14:paraId="6A71621B" w14:textId="77777777" w:rsidR="00971BDD" w:rsidRDefault="00971BDD" w:rsidP="0002603C">
      <w:pPr>
        <w:spacing w:after="120"/>
      </w:pPr>
    </w:p>
    <w:p w14:paraId="7E680440" w14:textId="77777777" w:rsidR="00B10BC4" w:rsidRDefault="00B10BC4" w:rsidP="0002603C">
      <w:pPr>
        <w:spacing w:after="120"/>
      </w:pPr>
    </w:p>
    <w:p w14:paraId="34AB9323" w14:textId="77777777" w:rsidR="00B10BC4" w:rsidRDefault="00B10BC4" w:rsidP="0002603C">
      <w:pPr>
        <w:spacing w:after="120"/>
      </w:pPr>
    </w:p>
    <w:p w14:paraId="3834E000" w14:textId="77777777" w:rsidR="00B10BC4" w:rsidRDefault="00B10BC4" w:rsidP="0002603C">
      <w:pPr>
        <w:spacing w:after="120"/>
      </w:pPr>
    </w:p>
    <w:p w14:paraId="7869DA43" w14:textId="77777777" w:rsidR="00B10BC4" w:rsidRDefault="00B10BC4" w:rsidP="0002603C">
      <w:pPr>
        <w:spacing w:after="120"/>
      </w:pPr>
    </w:p>
    <w:p w14:paraId="259AD5B6" w14:textId="77777777" w:rsidR="00B10BC4" w:rsidRDefault="00B10BC4" w:rsidP="0002603C">
      <w:pPr>
        <w:spacing w:after="120"/>
      </w:pPr>
    </w:p>
    <w:p w14:paraId="7384ED22" w14:textId="77777777" w:rsidR="00B10BC4" w:rsidRDefault="00B10BC4" w:rsidP="0002603C">
      <w:pPr>
        <w:spacing w:after="120"/>
      </w:pPr>
    </w:p>
    <w:p w14:paraId="13E14A83" w14:textId="77777777" w:rsidR="00B10BC4" w:rsidRDefault="00B10BC4" w:rsidP="0002603C">
      <w:pPr>
        <w:spacing w:after="120"/>
      </w:pPr>
    </w:p>
    <w:p w14:paraId="28F47F4F" w14:textId="77777777" w:rsidR="00B10BC4" w:rsidRDefault="00B10BC4" w:rsidP="0002603C">
      <w:pPr>
        <w:spacing w:after="120"/>
      </w:pPr>
    </w:p>
    <w:p w14:paraId="45CFFE90" w14:textId="77777777" w:rsidR="00B10BC4" w:rsidRDefault="00B10BC4" w:rsidP="0002603C">
      <w:pPr>
        <w:spacing w:after="120"/>
      </w:pPr>
    </w:p>
    <w:p w14:paraId="0DA21E3C" w14:textId="77777777" w:rsidR="00B10BC4" w:rsidRDefault="00B10BC4" w:rsidP="0002603C">
      <w:pPr>
        <w:spacing w:after="120"/>
      </w:pPr>
    </w:p>
    <w:p w14:paraId="71F4820C" w14:textId="77777777" w:rsidR="00B10BC4" w:rsidRDefault="00B10BC4" w:rsidP="0002603C">
      <w:pPr>
        <w:spacing w:after="120"/>
      </w:pPr>
    </w:p>
    <w:p w14:paraId="16D6841B" w14:textId="77777777" w:rsidR="00DC02E2" w:rsidRDefault="00DC02E2" w:rsidP="0002603C">
      <w:pPr>
        <w:spacing w:after="120"/>
      </w:pPr>
    </w:p>
    <w:p w14:paraId="385732F3" w14:textId="77777777" w:rsidR="00DC02E2" w:rsidRDefault="00DC02E2" w:rsidP="0002603C">
      <w:pPr>
        <w:spacing w:after="120"/>
      </w:pPr>
    </w:p>
    <w:p w14:paraId="1D16FAC7" w14:textId="77777777" w:rsidR="00971BDD" w:rsidRDefault="00971BDD" w:rsidP="0043521B"/>
    <w:p w14:paraId="3FB8DE14" w14:textId="6C1D1621" w:rsidR="00971BDD" w:rsidRPr="00971BDD" w:rsidRDefault="00971BDD" w:rsidP="00971BDD">
      <w:pPr>
        <w:jc w:val="center"/>
      </w:pPr>
      <w:r w:rsidRPr="00971BDD">
        <w:t>Example of the Record of Outcome of Consultant/Specialty</w:t>
      </w:r>
      <w:r w:rsidR="00B970CA">
        <w:t>/Specialist</w:t>
      </w:r>
      <w:r w:rsidRPr="00971BDD">
        <w:t xml:space="preserve"> Doctor Competenc</w:t>
      </w:r>
      <w:r w:rsidR="00041CD4">
        <w:t xml:space="preserve">y </w:t>
      </w:r>
      <w:r w:rsidRPr="00971BDD">
        <w:t>assessment document (The outcome of the assessment framework will need to be amended to suit local circumstances)</w:t>
      </w:r>
    </w:p>
    <w:p w14:paraId="322C839A" w14:textId="77777777" w:rsidR="00971BDD" w:rsidRPr="00B970CA" w:rsidRDefault="00971BDD" w:rsidP="00971BDD">
      <w:pPr>
        <w:tabs>
          <w:tab w:val="right" w:pos="9072"/>
        </w:tabs>
        <w:rPr>
          <w:b/>
          <w:bCs/>
          <w:i/>
        </w:rPr>
      </w:pPr>
      <w:r w:rsidRPr="00B970CA">
        <w:rPr>
          <w:b/>
          <w:bCs/>
          <w:i/>
        </w:rPr>
        <w:t>The following section should be completed once, at appointment.</w:t>
      </w:r>
    </w:p>
    <w:p w14:paraId="70C178B8" w14:textId="4F9BE6E6" w:rsidR="00971BDD" w:rsidRDefault="00971BDD" w:rsidP="00971BDD">
      <w:pPr>
        <w:pStyle w:val="ListParagraph"/>
        <w:numPr>
          <w:ilvl w:val="0"/>
          <w:numId w:val="1"/>
        </w:numPr>
        <w:tabs>
          <w:tab w:val="right" w:pos="9072"/>
        </w:tabs>
        <w:ind w:left="426" w:hanging="426"/>
      </w:pPr>
      <w:r w:rsidRPr="00EE2634">
        <w:t>On GMC/HCPC</w:t>
      </w:r>
      <w:r>
        <w:t xml:space="preserve"> specialist register in MMV, MM</w:t>
      </w:r>
      <w:r w:rsidR="00B10BC4">
        <w:t xml:space="preserve">, </w:t>
      </w:r>
      <w:r>
        <w:t xml:space="preserve">MV, </w:t>
      </w:r>
      <w:r w:rsidR="00B10BC4" w:rsidRPr="00B970CA">
        <w:t>or other,</w:t>
      </w:r>
      <w:r w:rsidR="00B10BC4">
        <w:t xml:space="preserve"> </w:t>
      </w:r>
      <w:r>
        <w:t>consistent with scope of practice</w:t>
      </w:r>
      <w:r>
        <w:tab/>
        <w:t>Y/N</w:t>
      </w:r>
    </w:p>
    <w:p w14:paraId="49411983" w14:textId="5EE18D68" w:rsidR="00971BDD" w:rsidRDefault="00971BDD" w:rsidP="00971BDD">
      <w:pPr>
        <w:tabs>
          <w:tab w:val="right" w:pos="9072"/>
        </w:tabs>
        <w:ind w:left="426"/>
      </w:pPr>
      <w:r>
        <w:t>If N, describe how the doctor has demonstrated competenc</w:t>
      </w:r>
      <w:r w:rsidR="00041CD4">
        <w:t>y</w:t>
      </w:r>
      <w:r>
        <w:t xml:space="preserve"> equivalent to that required for award of CCT in the specialty (for consultants only):</w:t>
      </w:r>
    </w:p>
    <w:p w14:paraId="617C9B5E"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04614AC1"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237D8D48" w14:textId="33A0A6E7" w:rsidR="00971BDD" w:rsidRDefault="00971BDD" w:rsidP="00971BDD">
      <w:pPr>
        <w:pStyle w:val="ListParagraph"/>
        <w:numPr>
          <w:ilvl w:val="0"/>
          <w:numId w:val="1"/>
        </w:numPr>
        <w:tabs>
          <w:tab w:val="right" w:pos="9072"/>
        </w:tabs>
        <w:ind w:left="426" w:hanging="426"/>
      </w:pPr>
      <w:r>
        <w:t>Appointed at a properly constituted appointments committee within the hospital where the consultant/specialty</w:t>
      </w:r>
      <w:r w:rsidR="00B970CA">
        <w:t>/</w:t>
      </w:r>
      <w:r w:rsidR="0043521B">
        <w:t>s</w:t>
      </w:r>
      <w:r w:rsidR="00B970CA">
        <w:t>pecialist</w:t>
      </w:r>
      <w:r>
        <w:t xml:space="preserve"> doctor practices for the bulk </w:t>
      </w:r>
      <w:r w:rsidRPr="00EE2634">
        <w:t>of their</w:t>
      </w:r>
      <w:r>
        <w:t xml:space="preserve"> practice</w:t>
      </w:r>
      <w:r>
        <w:tab/>
        <w:t>Y/N</w:t>
      </w:r>
    </w:p>
    <w:p w14:paraId="22A1BB5B" w14:textId="77777777" w:rsidR="00971BDD" w:rsidRDefault="00971BDD" w:rsidP="00971BDD">
      <w:pPr>
        <w:tabs>
          <w:tab w:val="right" w:pos="9072"/>
        </w:tabs>
        <w:ind w:left="426"/>
      </w:pPr>
      <w:r>
        <w:t>If N: Describe how the appointment was made:</w:t>
      </w:r>
    </w:p>
    <w:p w14:paraId="319D4E61" w14:textId="1182D1ED"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7AD49B2D"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4952198A" w14:textId="19B25ADF" w:rsidR="00971BDD" w:rsidRPr="008550CA" w:rsidRDefault="00971BDD" w:rsidP="00971BDD">
      <w:pPr>
        <w:tabs>
          <w:tab w:val="right" w:pos="9072"/>
        </w:tabs>
        <w:rPr>
          <w:b/>
          <w:bCs/>
          <w:i/>
        </w:rPr>
      </w:pPr>
      <w:r w:rsidRPr="008550CA">
        <w:rPr>
          <w:b/>
          <w:bCs/>
          <w:i/>
        </w:rPr>
        <w:t>The following section should be updated annually.</w:t>
      </w:r>
    </w:p>
    <w:p w14:paraId="6DAA9746" w14:textId="77777777" w:rsidR="00971BDD" w:rsidRDefault="00971BDD" w:rsidP="00971BDD">
      <w:pPr>
        <w:pStyle w:val="ListParagraph"/>
        <w:numPr>
          <w:ilvl w:val="0"/>
          <w:numId w:val="1"/>
        </w:numPr>
        <w:tabs>
          <w:tab w:val="right" w:pos="9072"/>
        </w:tabs>
        <w:ind w:left="426" w:hanging="426"/>
      </w:pPr>
      <w:r>
        <w:t>Has an appraisal been undertaken within the last 12 months (up to 3mo flexibility) within the hospital (or Trust) served by the laboratory or organisation that runs the laboratory</w:t>
      </w:r>
      <w:r>
        <w:tab/>
        <w:t>Y/N</w:t>
      </w:r>
    </w:p>
    <w:p w14:paraId="447A57F5" w14:textId="77777777" w:rsidR="00971BDD" w:rsidRDefault="00971BDD" w:rsidP="00971BDD">
      <w:pPr>
        <w:tabs>
          <w:tab w:val="right" w:pos="9072"/>
        </w:tabs>
        <w:ind w:left="426"/>
      </w:pPr>
      <w:r>
        <w:t>Document date of last appraisal</w:t>
      </w:r>
    </w:p>
    <w:p w14:paraId="248D31D7"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57BDC4CB"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263388B9" w14:textId="77777777" w:rsidR="00971BDD" w:rsidRDefault="00971BDD" w:rsidP="00971BDD">
      <w:pPr>
        <w:tabs>
          <w:tab w:val="right" w:pos="9072"/>
        </w:tabs>
        <w:ind w:left="426"/>
      </w:pPr>
      <w:r>
        <w:t>If N: Describe how the Laboratory is assured of the [quality] of the appraisal undertaken externally.</w:t>
      </w:r>
    </w:p>
    <w:p w14:paraId="2210E70B"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7D7C4F8F"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2505147E" w14:textId="352FBFC4" w:rsidR="00971BDD" w:rsidRDefault="00971BDD" w:rsidP="00971BDD">
      <w:pPr>
        <w:pStyle w:val="ListParagraph"/>
        <w:numPr>
          <w:ilvl w:val="0"/>
          <w:numId w:val="1"/>
        </w:numPr>
        <w:tabs>
          <w:tab w:val="right" w:pos="9072"/>
        </w:tabs>
        <w:ind w:left="426" w:hanging="426"/>
      </w:pPr>
      <w:r>
        <w:t>Has the consultant’s</w:t>
      </w:r>
      <w:r w:rsidRPr="00EE2634">
        <w:t xml:space="preserve">/ </w:t>
      </w:r>
      <w:r>
        <w:t>s</w:t>
      </w:r>
      <w:r w:rsidRPr="00EE2634">
        <w:t>pecialty</w:t>
      </w:r>
      <w:r w:rsidR="0043521B">
        <w:t>/specialist</w:t>
      </w:r>
      <w:r w:rsidRPr="00EE2634">
        <w:t xml:space="preserve"> </w:t>
      </w:r>
      <w:r w:rsidR="00B11310">
        <w:t>d</w:t>
      </w:r>
      <w:r w:rsidR="00B11310" w:rsidRPr="00EE2634">
        <w:t>octor’s</w:t>
      </w:r>
      <w:r>
        <w:t xml:space="preserve"> CPD been reviewed?</w:t>
      </w:r>
      <w:r>
        <w:tab/>
        <w:t>Y/N</w:t>
      </w:r>
      <w:r>
        <w:br/>
        <w:t>In the opinion of the Head of Department, does the CPD undertaken include CPD of sufficient quantity and relevance to the laboratory duties expected of the consultant?</w:t>
      </w:r>
      <w:r>
        <w:tab/>
        <w:t xml:space="preserve">Y/N  </w:t>
      </w:r>
    </w:p>
    <w:p w14:paraId="3DA6D451" w14:textId="77777777" w:rsidR="00966931" w:rsidRDefault="00966931" w:rsidP="00966931">
      <w:pPr>
        <w:tabs>
          <w:tab w:val="right" w:pos="9072"/>
        </w:tabs>
      </w:pPr>
    </w:p>
    <w:p w14:paraId="5BA38656" w14:textId="77777777" w:rsidR="00966931" w:rsidRDefault="00966931" w:rsidP="00966931">
      <w:pPr>
        <w:tabs>
          <w:tab w:val="right" w:pos="9072"/>
        </w:tabs>
      </w:pPr>
    </w:p>
    <w:p w14:paraId="268BB24D" w14:textId="77777777" w:rsidR="00966931" w:rsidRDefault="00966931" w:rsidP="00966931">
      <w:pPr>
        <w:tabs>
          <w:tab w:val="right" w:pos="9072"/>
        </w:tabs>
      </w:pPr>
    </w:p>
    <w:p w14:paraId="697A32AD" w14:textId="77777777" w:rsidR="000D1539" w:rsidRDefault="000D1539" w:rsidP="000D1539">
      <w:pPr>
        <w:pStyle w:val="ListParagraph"/>
        <w:numPr>
          <w:ilvl w:val="0"/>
          <w:numId w:val="1"/>
        </w:numPr>
        <w:tabs>
          <w:tab w:val="right" w:pos="9072"/>
        </w:tabs>
        <w:ind w:left="426" w:hanging="426"/>
      </w:pPr>
      <w:r w:rsidRPr="00154CC7">
        <w:lastRenderedPageBreak/>
        <w:t>Has the</w:t>
      </w:r>
      <w:r>
        <w:t xml:space="preserve"> medical</w:t>
      </w:r>
      <w:r w:rsidRPr="00154CC7">
        <w:t xml:space="preserve"> consultant</w:t>
      </w:r>
      <w:r>
        <w:t>/specialty/specialist doctor</w:t>
      </w:r>
      <w:r w:rsidRPr="00154CC7">
        <w:t xml:space="preserve"> had a break in continuous practice of over three months in the last year? </w:t>
      </w:r>
      <w:r>
        <w:tab/>
        <w:t>Y/N</w:t>
      </w:r>
    </w:p>
    <w:p w14:paraId="0FF70226" w14:textId="77777777" w:rsidR="000D1539" w:rsidRDefault="000D1539" w:rsidP="000D1539">
      <w:pPr>
        <w:tabs>
          <w:tab w:val="right" w:pos="9072"/>
        </w:tabs>
        <w:ind w:left="426"/>
      </w:pPr>
      <w:r>
        <w:t xml:space="preserve">If Y, has the </w:t>
      </w:r>
      <w:proofErr w:type="spellStart"/>
      <w:r>
        <w:t>AoMRCs</w:t>
      </w:r>
      <w:proofErr w:type="spellEnd"/>
      <w:r>
        <w:t>’ Return to Practice guidance been followed? Y/N Describe:</w:t>
      </w:r>
    </w:p>
    <w:p w14:paraId="677E3AE0"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70A58395" w14:textId="77777777" w:rsidR="00971BDD"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3D13F4F1" w14:textId="77777777" w:rsidR="00DC02E2" w:rsidRDefault="00DC02E2" w:rsidP="00DC02E2">
      <w:pPr>
        <w:pStyle w:val="ListParagraph"/>
        <w:tabs>
          <w:tab w:val="right" w:pos="9072"/>
        </w:tabs>
        <w:ind w:left="426"/>
      </w:pPr>
    </w:p>
    <w:p w14:paraId="7BE2828F" w14:textId="77777777" w:rsidR="00DC02E2" w:rsidRDefault="00DC02E2" w:rsidP="00DC02E2">
      <w:pPr>
        <w:pStyle w:val="ListParagraph"/>
        <w:tabs>
          <w:tab w:val="right" w:pos="9072"/>
        </w:tabs>
        <w:ind w:left="426"/>
      </w:pPr>
    </w:p>
    <w:p w14:paraId="18B5CDAA" w14:textId="3BB79917" w:rsidR="00971BDD" w:rsidRPr="00EE2634" w:rsidRDefault="00971BDD" w:rsidP="00971BDD">
      <w:pPr>
        <w:pStyle w:val="ListParagraph"/>
        <w:numPr>
          <w:ilvl w:val="0"/>
          <w:numId w:val="1"/>
        </w:numPr>
        <w:tabs>
          <w:tab w:val="right" w:pos="9072"/>
        </w:tabs>
        <w:ind w:left="426" w:hanging="426"/>
      </w:pPr>
      <w:r>
        <w:t>Has the consultant</w:t>
      </w:r>
      <w:r w:rsidRPr="00EE2634">
        <w:t xml:space="preserve">/ </w:t>
      </w:r>
      <w:r w:rsidR="0043521B">
        <w:t>s</w:t>
      </w:r>
      <w:r w:rsidRPr="00EE2634">
        <w:t>pecialty</w:t>
      </w:r>
      <w:r w:rsidR="0043521B">
        <w:t>/specialist</w:t>
      </w:r>
      <w:r w:rsidRPr="00EE2634">
        <w:t xml:space="preserve"> </w:t>
      </w:r>
      <w:r w:rsidR="0043521B">
        <w:t>d</w:t>
      </w:r>
      <w:r w:rsidRPr="00EE2634">
        <w:t>octor participated actively in peer challenge within the parameters laid down by the department?</w:t>
      </w:r>
      <w:r w:rsidRPr="00EE2634">
        <w:tab/>
        <w:t>Y/N</w:t>
      </w:r>
    </w:p>
    <w:p w14:paraId="119FA0D8" w14:textId="0D78EBFD" w:rsidR="00971BDD" w:rsidRPr="00EE2634" w:rsidRDefault="00971BDD" w:rsidP="00971BDD">
      <w:pPr>
        <w:tabs>
          <w:tab w:val="right" w:pos="9072"/>
        </w:tabs>
        <w:ind w:left="426"/>
      </w:pPr>
      <w:r w:rsidRPr="00EE2634">
        <w:t xml:space="preserve">If N: Describe how the Laboratory is assured that the consultant/ </w:t>
      </w:r>
      <w:r w:rsidR="0043521B">
        <w:t>s</w:t>
      </w:r>
      <w:r w:rsidRPr="00EE2634">
        <w:t>pecialty</w:t>
      </w:r>
      <w:r w:rsidR="0043521B">
        <w:t>/specialist</w:t>
      </w:r>
      <w:r w:rsidRPr="00EE2634">
        <w:t xml:space="preserve"> </w:t>
      </w:r>
      <w:r w:rsidR="0043521B">
        <w:t>d</w:t>
      </w:r>
      <w:r w:rsidRPr="00EE2634">
        <w:t>octor participates in peer challenge.</w:t>
      </w:r>
    </w:p>
    <w:p w14:paraId="33EA26C8" w14:textId="77777777" w:rsidR="00971BDD" w:rsidRPr="00EE2634"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38DE95DB" w14:textId="77777777" w:rsidR="00971BDD" w:rsidRPr="00EE2634" w:rsidRDefault="00971BDD" w:rsidP="00971BDD">
      <w:pPr>
        <w:pBdr>
          <w:top w:val="single" w:sz="4" w:space="1" w:color="auto"/>
          <w:left w:val="single" w:sz="4" w:space="4" w:color="auto"/>
          <w:bottom w:val="single" w:sz="4" w:space="1" w:color="auto"/>
          <w:right w:val="single" w:sz="4" w:space="4" w:color="auto"/>
        </w:pBdr>
        <w:tabs>
          <w:tab w:val="right" w:pos="9072"/>
        </w:tabs>
        <w:ind w:left="426"/>
      </w:pPr>
    </w:p>
    <w:p w14:paraId="4E27CC2C" w14:textId="77777777" w:rsidR="00971BDD" w:rsidRPr="00EE2634" w:rsidRDefault="00971BDD" w:rsidP="00971BDD">
      <w:pPr>
        <w:tabs>
          <w:tab w:val="right" w:pos="9072"/>
        </w:tabs>
        <w:ind w:left="426"/>
      </w:pPr>
    </w:p>
    <w:p w14:paraId="67D0971D" w14:textId="47BA43FE" w:rsidR="00971BDD" w:rsidRDefault="00971BDD" w:rsidP="00971BDD">
      <w:pPr>
        <w:tabs>
          <w:tab w:val="right" w:pos="9072"/>
        </w:tabs>
        <w:ind w:left="426"/>
      </w:pPr>
      <w:r w:rsidRPr="00EE2634">
        <w:t xml:space="preserve">Has the consultant/ </w:t>
      </w:r>
      <w:r>
        <w:t>s</w:t>
      </w:r>
      <w:r w:rsidRPr="00EE2634">
        <w:t>pecia</w:t>
      </w:r>
      <w:r w:rsidR="00DC02E2">
        <w:t>l</w:t>
      </w:r>
      <w:r w:rsidRPr="00EE2634">
        <w:t>ty</w:t>
      </w:r>
      <w:r w:rsidR="0043521B">
        <w:t>/specialist</w:t>
      </w:r>
      <w:r w:rsidRPr="00EE2634">
        <w:t xml:space="preserve"> </w:t>
      </w:r>
      <w:r>
        <w:t>d</w:t>
      </w:r>
      <w:r w:rsidRPr="00EE2634">
        <w:t xml:space="preserve">octor been assessed to </w:t>
      </w:r>
      <w:r w:rsidR="00747CE7">
        <w:t>have</w:t>
      </w:r>
      <w:r w:rsidRPr="00EE2634">
        <w:t xml:space="preserve"> competen</w:t>
      </w:r>
      <w:r w:rsidR="00747CE7">
        <w:t>cy</w:t>
      </w:r>
      <w:r w:rsidRPr="00EE2634">
        <w:t xml:space="preserve"> to undertake all laboratory duties</w:t>
      </w:r>
      <w:r>
        <w:br/>
        <w:t xml:space="preserve"> required?</w:t>
      </w:r>
      <w:r>
        <w:tab/>
        <w:t>Y/N</w:t>
      </w:r>
    </w:p>
    <w:p w14:paraId="5130FCEE" w14:textId="77777777" w:rsidR="008550CA" w:rsidRDefault="008550CA" w:rsidP="00971BDD">
      <w:pPr>
        <w:tabs>
          <w:tab w:val="right" w:pos="9072"/>
        </w:tabs>
        <w:ind w:left="426"/>
      </w:pPr>
    </w:p>
    <w:p w14:paraId="36FA0313" w14:textId="349365A9" w:rsidR="008550CA" w:rsidRDefault="008550CA" w:rsidP="00971BDD">
      <w:pPr>
        <w:tabs>
          <w:tab w:val="right" w:pos="9072"/>
        </w:tabs>
        <w:ind w:left="426"/>
      </w:pPr>
      <w:r>
        <w:t>If no, what actions need to be undertaken? Please provide a time frame to undertake these actions and repeat this competency assessment.</w:t>
      </w:r>
    </w:p>
    <w:p w14:paraId="53C68583" w14:textId="77777777" w:rsidR="008550CA" w:rsidRDefault="008550CA" w:rsidP="00971BDD">
      <w:pPr>
        <w:tabs>
          <w:tab w:val="right" w:pos="9072"/>
        </w:tabs>
        <w:ind w:left="426"/>
      </w:pPr>
    </w:p>
    <w:p w14:paraId="31E2A736" w14:textId="77777777" w:rsidR="008550CA" w:rsidRDefault="008550CA" w:rsidP="00971BDD">
      <w:pPr>
        <w:tabs>
          <w:tab w:val="right" w:pos="9072"/>
        </w:tabs>
        <w:ind w:left="426"/>
      </w:pPr>
    </w:p>
    <w:p w14:paraId="4842194A" w14:textId="77777777" w:rsidR="00971BDD" w:rsidRDefault="00971BDD" w:rsidP="00971BDD">
      <w:pPr>
        <w:tabs>
          <w:tab w:val="left" w:pos="5670"/>
          <w:tab w:val="right" w:pos="9072"/>
        </w:tabs>
        <w:ind w:left="426"/>
      </w:pPr>
    </w:p>
    <w:p w14:paraId="2AD0F8FC" w14:textId="27620FAC" w:rsidR="00971BDD" w:rsidRDefault="00971BDD" w:rsidP="00971BDD">
      <w:pPr>
        <w:tabs>
          <w:tab w:val="left" w:pos="5670"/>
          <w:tab w:val="right" w:pos="9072"/>
        </w:tabs>
        <w:ind w:left="426"/>
      </w:pPr>
      <w:r>
        <w:t>By</w:t>
      </w:r>
      <w:r w:rsidR="008550CA">
        <w:t xml:space="preserve"> (sign and print name)</w:t>
      </w:r>
      <w:r>
        <w:t>:</w:t>
      </w:r>
      <w:r>
        <w:tab/>
        <w:t>Date:</w:t>
      </w:r>
    </w:p>
    <w:p w14:paraId="2DECB1DE" w14:textId="029E9B30" w:rsidR="00971BDD" w:rsidRDefault="008550CA" w:rsidP="00971BDD">
      <w:pPr>
        <w:tabs>
          <w:tab w:val="left" w:pos="5670"/>
          <w:tab w:val="right" w:pos="9072"/>
        </w:tabs>
        <w:ind w:left="426"/>
      </w:pPr>
      <w:r>
        <w:t>Designation:</w:t>
      </w:r>
    </w:p>
    <w:p w14:paraId="6C704EB6" w14:textId="77777777" w:rsidR="00971BDD" w:rsidRDefault="00971BDD" w:rsidP="00971BDD">
      <w:pPr>
        <w:tabs>
          <w:tab w:val="left" w:pos="5670"/>
          <w:tab w:val="right" w:pos="9072"/>
        </w:tabs>
        <w:ind w:left="426"/>
      </w:pPr>
    </w:p>
    <w:p w14:paraId="2B889DBF" w14:textId="77777777" w:rsidR="00971BDD" w:rsidRDefault="00971BDD" w:rsidP="00971BDD">
      <w:pPr>
        <w:tabs>
          <w:tab w:val="left" w:pos="5670"/>
          <w:tab w:val="right" w:pos="9072"/>
        </w:tabs>
        <w:ind w:left="426"/>
      </w:pPr>
    </w:p>
    <w:p w14:paraId="33186528" w14:textId="77777777" w:rsidR="00971BDD" w:rsidRDefault="00971BDD" w:rsidP="00971BDD">
      <w:pPr>
        <w:tabs>
          <w:tab w:val="left" w:pos="5670"/>
          <w:tab w:val="right" w:pos="9072"/>
        </w:tabs>
        <w:ind w:left="426"/>
      </w:pPr>
    </w:p>
    <w:p w14:paraId="49ED6EEC" w14:textId="77777777" w:rsidR="00971BDD" w:rsidRDefault="00971BDD" w:rsidP="00971BDD">
      <w:pPr>
        <w:tabs>
          <w:tab w:val="left" w:pos="5670"/>
          <w:tab w:val="right" w:pos="9072"/>
        </w:tabs>
        <w:ind w:left="426"/>
      </w:pPr>
    </w:p>
    <w:p w14:paraId="34C520D6" w14:textId="77777777" w:rsidR="00971BDD" w:rsidRDefault="00971BDD" w:rsidP="00971BDD">
      <w:pPr>
        <w:tabs>
          <w:tab w:val="left" w:pos="5670"/>
          <w:tab w:val="right" w:pos="9072"/>
        </w:tabs>
        <w:ind w:left="426"/>
      </w:pPr>
    </w:p>
    <w:p w14:paraId="09898810" w14:textId="77777777" w:rsidR="00971BDD" w:rsidRDefault="00971BDD" w:rsidP="00971BDD">
      <w:pPr>
        <w:tabs>
          <w:tab w:val="left" w:pos="5670"/>
          <w:tab w:val="right" w:pos="9072"/>
        </w:tabs>
        <w:ind w:left="426"/>
      </w:pPr>
    </w:p>
    <w:p w14:paraId="7C358AE0" w14:textId="77777777" w:rsidR="00971BDD" w:rsidRDefault="00971BDD" w:rsidP="00971BDD">
      <w:pPr>
        <w:tabs>
          <w:tab w:val="left" w:pos="5670"/>
          <w:tab w:val="right" w:pos="9072"/>
        </w:tabs>
        <w:ind w:left="426"/>
      </w:pPr>
    </w:p>
    <w:p w14:paraId="2D1DB501" w14:textId="77777777" w:rsidR="00971BDD" w:rsidRDefault="00971BDD" w:rsidP="00971BDD">
      <w:pPr>
        <w:tabs>
          <w:tab w:val="left" w:pos="5670"/>
          <w:tab w:val="right" w:pos="9072"/>
        </w:tabs>
        <w:ind w:left="426"/>
      </w:pPr>
    </w:p>
    <w:p w14:paraId="4E4C1984" w14:textId="77777777" w:rsidR="004953AA" w:rsidRPr="0043521B" w:rsidRDefault="004953AA" w:rsidP="0002603C">
      <w:pPr>
        <w:keepNext/>
        <w:spacing w:before="240" w:after="120"/>
        <w:rPr>
          <w:b/>
          <w:bCs/>
        </w:rPr>
      </w:pPr>
      <w:r w:rsidRPr="0043521B">
        <w:rPr>
          <w:b/>
          <w:bCs/>
        </w:rPr>
        <w:lastRenderedPageBreak/>
        <w:t>Background</w:t>
      </w:r>
    </w:p>
    <w:p w14:paraId="587BA9E7" w14:textId="0FFE006C" w:rsidR="00216CEB" w:rsidRDefault="00216CEB" w:rsidP="00216CEB">
      <w:pPr>
        <w:spacing w:after="120"/>
      </w:pPr>
      <w:r>
        <w:t>For the purposes of this paper, the demonstration of competenc</w:t>
      </w:r>
      <w:r w:rsidR="00041CD4">
        <w:t>y</w:t>
      </w:r>
      <w:r>
        <w:t xml:space="preserve"> of consultant microbiologists and virologists is limited to the consultants’ duties of oversight of laboratory </w:t>
      </w:r>
      <w:r w:rsidR="000F4212">
        <w:t>processes</w:t>
      </w:r>
      <w:r>
        <w:t xml:space="preserve"> to include issue of results and provision of advice to clinical staff </w:t>
      </w:r>
      <w:r w:rsidR="0020539B">
        <w:t>relating to</w:t>
      </w:r>
      <w:r>
        <w:t xml:space="preserve"> the </w:t>
      </w:r>
      <w:r w:rsidR="00AB68E6">
        <w:t xml:space="preserve">laboratory </w:t>
      </w:r>
      <w:r>
        <w:t xml:space="preserve">investigation and </w:t>
      </w:r>
      <w:r w:rsidR="00AB68E6">
        <w:t>interpretation of laboratory results</w:t>
      </w:r>
      <w:r>
        <w:t xml:space="preserve"> of patients with (or suspected of having) infection. Clinical competenc</w:t>
      </w:r>
      <w:r w:rsidR="00041CD4">
        <w:t>y</w:t>
      </w:r>
      <w:r>
        <w:t xml:space="preserve"> in patient assessment on the wards or clinics is </w:t>
      </w:r>
      <w:r w:rsidR="0097589F">
        <w:t>out with</w:t>
      </w:r>
      <w:r>
        <w:t xml:space="preserve"> the scope of this document.</w:t>
      </w:r>
    </w:p>
    <w:p w14:paraId="1B31F1AA" w14:textId="564C2780" w:rsidR="00AB68E6" w:rsidRPr="00D846E1" w:rsidRDefault="00AB68E6" w:rsidP="00216CEB">
      <w:pPr>
        <w:spacing w:after="120"/>
      </w:pPr>
      <w:r>
        <w:t>The assessment of competenc</w:t>
      </w:r>
      <w:r w:rsidR="00041CD4">
        <w:t>y</w:t>
      </w:r>
      <w:r>
        <w:t xml:space="preserve"> to undertake managerial or ot</w:t>
      </w:r>
      <w:r w:rsidR="009C782F">
        <w:t>h</w:t>
      </w:r>
      <w:r>
        <w:t>er specialist laboratory tasks should be undertaken but is not included within the scope of this document</w:t>
      </w:r>
      <w:r w:rsidRPr="0012153F">
        <w:t>.</w:t>
      </w:r>
      <w:r w:rsidR="009014C6" w:rsidRPr="0012153F">
        <w:t xml:space="preserve"> This would include for example, competency in reference laboratory work for medical mycology, oral microbiology, parasitology </w:t>
      </w:r>
      <w:r w:rsidR="0097589F" w:rsidRPr="0012153F">
        <w:t xml:space="preserve">etc. </w:t>
      </w:r>
      <w:r w:rsidR="009014C6" w:rsidRPr="0012153F">
        <w:t xml:space="preserve">where a more bespoke </w:t>
      </w:r>
      <w:r w:rsidR="009014C6" w:rsidRPr="00D846E1">
        <w:t xml:space="preserve">competency assessment may be required. </w:t>
      </w:r>
    </w:p>
    <w:p w14:paraId="6610CC11" w14:textId="59DE4CDF" w:rsidR="000F4212" w:rsidRPr="00D846E1" w:rsidRDefault="003B0EC5" w:rsidP="0002603C">
      <w:pPr>
        <w:spacing w:after="120"/>
      </w:pPr>
      <w:r w:rsidRPr="00D846E1">
        <w:t>The roles and responsibilities of consultant microbiologists</w:t>
      </w:r>
      <w:r w:rsidR="00D21CEB">
        <w:t>/virologists</w:t>
      </w:r>
      <w:r w:rsidRPr="00D846E1">
        <w:t xml:space="preserve"> can vary considerably from one setting to another, and between consultants in the same</w:t>
      </w:r>
      <w:r w:rsidR="005611C2" w:rsidRPr="00D846E1">
        <w:t xml:space="preserve"> infection service</w:t>
      </w:r>
      <w:r w:rsidRPr="00D846E1">
        <w:t xml:space="preserve"> department</w:t>
      </w:r>
      <w:r w:rsidR="005611C2" w:rsidRPr="00D846E1">
        <w:t xml:space="preserve"> (however named)</w:t>
      </w:r>
      <w:r w:rsidRPr="00D846E1">
        <w:t>. Many consultants will have specified areas of specialist responsibility</w:t>
      </w:r>
      <w:r w:rsidR="00A4438C" w:rsidRPr="00D846E1">
        <w:t xml:space="preserve">, and </w:t>
      </w:r>
      <w:r w:rsidRPr="00D846E1">
        <w:t xml:space="preserve">most consultants will be required to cover for colleagues during periods of </w:t>
      </w:r>
      <w:r w:rsidR="00216CEB" w:rsidRPr="00D846E1">
        <w:t>non-availability.</w:t>
      </w:r>
      <w:r w:rsidR="000F4212" w:rsidRPr="00D846E1">
        <w:t xml:space="preserve"> </w:t>
      </w:r>
      <w:r w:rsidRPr="00D846E1">
        <w:t xml:space="preserve">Moreover, the responsibilities of individual consultants </w:t>
      </w:r>
      <w:r w:rsidR="00216CEB" w:rsidRPr="00D846E1">
        <w:t>are</w:t>
      </w:r>
      <w:r w:rsidRPr="00D846E1">
        <w:t xml:space="preserve"> likely to evolve over time as technology and clinical practice changes.</w:t>
      </w:r>
    </w:p>
    <w:p w14:paraId="2D7182B1" w14:textId="6E12E676" w:rsidR="00E56F36" w:rsidRPr="00D846E1" w:rsidRDefault="00E56F36" w:rsidP="0002603C">
      <w:pPr>
        <w:spacing w:after="120"/>
      </w:pPr>
      <w:r w:rsidRPr="00D846E1">
        <w:t>Increasing numbers of departments employ consultant clinical scientists. Their role varies considerably: in some centres, the consultant clinical scientists’ role is very scientific; in others the clinical scientists’ role is indistinguishable from that of medically qualified colleagues (aside from any direct clinical care roles). While many aspects of the assessment of competenc</w:t>
      </w:r>
      <w:r w:rsidR="00041CD4">
        <w:t>y</w:t>
      </w:r>
      <w:r w:rsidRPr="00D846E1">
        <w:t xml:space="preserve"> of clinical scientists can be undertaken within the same framework as </w:t>
      </w:r>
      <w:r w:rsidR="00480349" w:rsidRPr="00D846E1">
        <w:t xml:space="preserve">that for medically qualified colleagues, there will be some distinct differences, particularly with respect to appraisal processes. </w:t>
      </w:r>
      <w:r w:rsidR="0093487D" w:rsidRPr="00D846E1">
        <w:t xml:space="preserve">These have been captured in the </w:t>
      </w:r>
      <w:r w:rsidR="00EE2634" w:rsidRPr="00D846E1">
        <w:t>Outcome of Consultant/Specialty</w:t>
      </w:r>
      <w:r w:rsidR="00D21CEB">
        <w:t>/Specialist</w:t>
      </w:r>
      <w:r w:rsidR="00EE2634" w:rsidRPr="00D846E1">
        <w:t xml:space="preserve"> Doctor C</w:t>
      </w:r>
      <w:r w:rsidR="0093487D" w:rsidRPr="00D846E1">
        <w:t>ompetenc</w:t>
      </w:r>
      <w:r w:rsidR="009E24A9">
        <w:t>y</w:t>
      </w:r>
      <w:r w:rsidR="005611C2" w:rsidRPr="00D846E1">
        <w:t xml:space="preserve"> assessment</w:t>
      </w:r>
      <w:r w:rsidR="0093487D" w:rsidRPr="00D846E1">
        <w:t xml:space="preserve"> document as appropriate. </w:t>
      </w:r>
    </w:p>
    <w:p w14:paraId="76AF83F5" w14:textId="056D34B7" w:rsidR="00DC2243" w:rsidRPr="00D846E1" w:rsidRDefault="005611C2" w:rsidP="0002603C">
      <w:pPr>
        <w:spacing w:after="120"/>
      </w:pPr>
      <w:r w:rsidRPr="00D846E1">
        <w:t>Specialty</w:t>
      </w:r>
      <w:r w:rsidR="00D21CEB">
        <w:t>/specialist</w:t>
      </w:r>
      <w:r w:rsidR="00DC2243" w:rsidRPr="00D846E1">
        <w:t xml:space="preserve"> doctors are also increasingly employed by Trusts. Range of </w:t>
      </w:r>
      <w:r w:rsidR="0093487D" w:rsidRPr="00D846E1">
        <w:t>responsibilities</w:t>
      </w:r>
      <w:r w:rsidR="00DC2243" w:rsidRPr="00D846E1">
        <w:t xml:space="preserve"> and roles varies between trusts, with some employed in training roles and others working as a consultant under supervision. </w:t>
      </w:r>
      <w:r w:rsidR="0093487D" w:rsidRPr="00D846E1">
        <w:t xml:space="preserve">For those working in a more senior role, appraisal and competency </w:t>
      </w:r>
      <w:r w:rsidRPr="00D846E1">
        <w:t>assessment processes are</w:t>
      </w:r>
      <w:r w:rsidR="0093487D" w:rsidRPr="00D846E1">
        <w:t xml:space="preserve"> generally accepted as being equivalent to that of a medical consultant</w:t>
      </w:r>
      <w:r w:rsidR="003763C9" w:rsidRPr="00D846E1">
        <w:t xml:space="preserve">  as per the </w:t>
      </w:r>
      <w:hyperlink r:id="rId10" w:history="1">
        <w:r w:rsidR="0097589F" w:rsidRPr="00D846E1">
          <w:rPr>
            <w:rStyle w:val="Hyperlink"/>
          </w:rPr>
          <w:t>GMC guidance on supporting revalidation and appraisal</w:t>
        </w:r>
      </w:hyperlink>
      <w:r w:rsidR="0093487D" w:rsidRPr="00D846E1">
        <w:t>.</w:t>
      </w:r>
    </w:p>
    <w:p w14:paraId="46664F08" w14:textId="7E802586" w:rsidR="00995735" w:rsidRDefault="003B0EC5" w:rsidP="0002603C">
      <w:pPr>
        <w:spacing w:after="120"/>
      </w:pPr>
      <w:r w:rsidRPr="00D846E1">
        <w:t>It is essential that e</w:t>
      </w:r>
      <w:r w:rsidR="00480349" w:rsidRPr="00D846E1">
        <w:t>ach</w:t>
      </w:r>
      <w:r w:rsidRPr="00D846E1">
        <w:t xml:space="preserve"> consultant</w:t>
      </w:r>
      <w:r w:rsidR="005611C2" w:rsidRPr="00D846E1">
        <w:t>/specialty</w:t>
      </w:r>
      <w:r w:rsidR="00D21CEB">
        <w:t>/specialist</w:t>
      </w:r>
      <w:r w:rsidR="005611C2" w:rsidRPr="00D846E1">
        <w:t xml:space="preserve"> doctor</w:t>
      </w:r>
      <w:r w:rsidRPr="00D846E1">
        <w:t xml:space="preserve"> </w:t>
      </w:r>
      <w:r w:rsidR="00B16DCC" w:rsidRPr="00D846E1">
        <w:t>has demonstrable competenc</w:t>
      </w:r>
      <w:r w:rsidR="00041CD4">
        <w:t>y</w:t>
      </w:r>
      <w:r w:rsidR="00B16DCC">
        <w:t xml:space="preserve"> across the whole scope of </w:t>
      </w:r>
      <w:r w:rsidR="00BF556B">
        <w:t>their</w:t>
      </w:r>
      <w:r>
        <w:t xml:space="preserve"> </w:t>
      </w:r>
      <w:r w:rsidR="00995735" w:rsidRPr="00995735">
        <w:t>current</w:t>
      </w:r>
      <w:r w:rsidR="00995735">
        <w:t xml:space="preserve"> </w:t>
      </w:r>
      <w:r w:rsidR="00B16DCC">
        <w:t xml:space="preserve">practice </w:t>
      </w:r>
      <w:r w:rsidR="005611C2">
        <w:t>to</w:t>
      </w:r>
      <w:r>
        <w:t xml:space="preserve"> deliver a high quality, safe service.</w:t>
      </w:r>
      <w:r w:rsidR="0020539B">
        <w:t xml:space="preserve"> It is therefore self-evident that if an individual consultant’s</w:t>
      </w:r>
      <w:r w:rsidR="00D21CEB" w:rsidRPr="0092076F">
        <w:rPr>
          <w:iCs/>
        </w:rPr>
        <w:t>/specialty</w:t>
      </w:r>
      <w:r w:rsidR="00D21CEB">
        <w:rPr>
          <w:iCs/>
        </w:rPr>
        <w:t>/specialist</w:t>
      </w:r>
      <w:r w:rsidR="00D21CEB" w:rsidRPr="0092076F">
        <w:rPr>
          <w:iCs/>
        </w:rPr>
        <w:t xml:space="preserve"> doctor</w:t>
      </w:r>
      <w:r w:rsidR="00D21CEB">
        <w:rPr>
          <w:iCs/>
        </w:rPr>
        <w:t>’</w:t>
      </w:r>
      <w:r w:rsidR="00D21CEB" w:rsidRPr="0092076F">
        <w:rPr>
          <w:iCs/>
        </w:rPr>
        <w:t>s</w:t>
      </w:r>
      <w:r w:rsidR="0020539B">
        <w:t xml:space="preserve"> practice changes within the same department, or </w:t>
      </w:r>
      <w:r w:rsidR="00D21CEB">
        <w:t>because of</w:t>
      </w:r>
      <w:r w:rsidR="0020539B">
        <w:t xml:space="preserve"> taking up an appointment at a different hospital with different range of specialist units, </w:t>
      </w:r>
      <w:r w:rsidR="00FE6E0A">
        <w:t>the</w:t>
      </w:r>
      <w:r w:rsidR="0020539B">
        <w:t xml:space="preserve"> consultant</w:t>
      </w:r>
      <w:r w:rsidR="00D21CEB" w:rsidRPr="0092076F">
        <w:rPr>
          <w:iCs/>
        </w:rPr>
        <w:t>/specialty</w:t>
      </w:r>
      <w:r w:rsidR="00D21CEB">
        <w:rPr>
          <w:iCs/>
        </w:rPr>
        <w:t>/specialist</w:t>
      </w:r>
      <w:r w:rsidR="00D21CEB" w:rsidRPr="0092076F">
        <w:rPr>
          <w:iCs/>
        </w:rPr>
        <w:t xml:space="preserve"> doctor</w:t>
      </w:r>
      <w:r w:rsidR="0020539B">
        <w:t xml:space="preserve"> </w:t>
      </w:r>
      <w:r w:rsidR="00FE6E0A">
        <w:t>will</w:t>
      </w:r>
      <w:r w:rsidR="0020539B">
        <w:t xml:space="preserve"> then have to demonstrate competenc</w:t>
      </w:r>
      <w:r w:rsidR="009E24A9">
        <w:t>y</w:t>
      </w:r>
      <w:r w:rsidR="0020539B">
        <w:t xml:space="preserve"> across </w:t>
      </w:r>
      <w:r w:rsidR="00D36D80">
        <w:t>their</w:t>
      </w:r>
      <w:r w:rsidR="0020539B">
        <w:t xml:space="preserve"> new scope of </w:t>
      </w:r>
      <w:r w:rsidR="001B4285">
        <w:t>practice and</w:t>
      </w:r>
      <w:r w:rsidR="0020539B">
        <w:t xml:space="preserve"> be assessed to have achieved such competenc</w:t>
      </w:r>
      <w:r w:rsidR="00041CD4">
        <w:t>y</w:t>
      </w:r>
      <w:r w:rsidR="0020539B">
        <w:t xml:space="preserve"> accordingly. </w:t>
      </w:r>
    </w:p>
    <w:p w14:paraId="5DF2B7A7" w14:textId="58639734" w:rsidR="00943114" w:rsidRPr="00D21CEB" w:rsidRDefault="00995735" w:rsidP="00995735">
      <w:pPr>
        <w:spacing w:after="120"/>
        <w:rPr>
          <w:iCs/>
        </w:rPr>
      </w:pPr>
      <w:r>
        <w:t>Due to the wide range of duties within any specialty, there is no expectation that an individual consultant</w:t>
      </w:r>
      <w:r w:rsidR="00D21CEB" w:rsidRPr="0092076F">
        <w:rPr>
          <w:iCs/>
        </w:rPr>
        <w:t>/specialty</w:t>
      </w:r>
      <w:r w:rsidR="00D21CEB">
        <w:rPr>
          <w:iCs/>
        </w:rPr>
        <w:t>/specialist</w:t>
      </w:r>
      <w:r w:rsidR="00D21CEB" w:rsidRPr="0092076F">
        <w:rPr>
          <w:iCs/>
        </w:rPr>
        <w:t xml:space="preserve"> doctor</w:t>
      </w:r>
      <w:r>
        <w:t xml:space="preserve"> demonstrates competenc</w:t>
      </w:r>
      <w:r w:rsidR="00041CD4">
        <w:t>y</w:t>
      </w:r>
      <w:r>
        <w:t xml:space="preserve"> on an ongoing basis across the whole spectrum of potential duties that may be expected of a consultant</w:t>
      </w:r>
      <w:r w:rsidR="00D21CEB" w:rsidRPr="0092076F">
        <w:rPr>
          <w:iCs/>
        </w:rPr>
        <w:t>/specialty</w:t>
      </w:r>
      <w:r w:rsidR="00D21CEB">
        <w:rPr>
          <w:iCs/>
        </w:rPr>
        <w:t>/specialist</w:t>
      </w:r>
      <w:r w:rsidR="00D21CEB" w:rsidRPr="0092076F">
        <w:rPr>
          <w:iCs/>
        </w:rPr>
        <w:t xml:space="preserve"> doctor</w:t>
      </w:r>
      <w:r>
        <w:t xml:space="preserve"> in that specialty</w:t>
      </w:r>
      <w:r w:rsidR="0002603C">
        <w:t xml:space="preserve">, but which are outside the </w:t>
      </w:r>
      <w:r w:rsidR="000F4212">
        <w:t xml:space="preserve">individual </w:t>
      </w:r>
      <w:r w:rsidR="0002603C">
        <w:t>consultant’s</w:t>
      </w:r>
      <w:r w:rsidR="00D21CEB" w:rsidRPr="0092076F">
        <w:rPr>
          <w:iCs/>
        </w:rPr>
        <w:t>/specialty</w:t>
      </w:r>
      <w:r w:rsidR="00D21CEB">
        <w:rPr>
          <w:iCs/>
        </w:rPr>
        <w:t>/specialist</w:t>
      </w:r>
      <w:r w:rsidR="00D21CEB" w:rsidRPr="0092076F">
        <w:rPr>
          <w:iCs/>
        </w:rPr>
        <w:t xml:space="preserve"> doctor</w:t>
      </w:r>
      <w:r w:rsidR="00D21CEB">
        <w:rPr>
          <w:iCs/>
        </w:rPr>
        <w:t>’s</w:t>
      </w:r>
      <w:r w:rsidR="0002603C">
        <w:t xml:space="preserve"> scope of practice.</w:t>
      </w:r>
    </w:p>
    <w:p w14:paraId="26DB93F2" w14:textId="1A649B50" w:rsidR="00D36D80" w:rsidRDefault="00D36D80" w:rsidP="00995735">
      <w:pPr>
        <w:spacing w:after="120"/>
      </w:pPr>
      <w:r>
        <w:t>Consultants</w:t>
      </w:r>
      <w:r w:rsidR="00D21CEB" w:rsidRPr="0092076F">
        <w:rPr>
          <w:iCs/>
        </w:rPr>
        <w:t>/specialty</w:t>
      </w:r>
      <w:r w:rsidR="00D21CEB">
        <w:rPr>
          <w:iCs/>
        </w:rPr>
        <w:t>/specialist</w:t>
      </w:r>
      <w:r w:rsidR="00D21CEB" w:rsidRPr="0092076F">
        <w:rPr>
          <w:iCs/>
        </w:rPr>
        <w:t xml:space="preserve"> doctors</w:t>
      </w:r>
      <w:r>
        <w:t xml:space="preserve"> who practice less than full time, including those who have roles such as Medical Director but retain some clinical sessions, must </w:t>
      </w:r>
      <w:r w:rsidR="001B4285">
        <w:t>continue</w:t>
      </w:r>
      <w:r>
        <w:t xml:space="preserve"> to demonstrate </w:t>
      </w:r>
      <w:r>
        <w:lastRenderedPageBreak/>
        <w:t>clinical competenc</w:t>
      </w:r>
      <w:r w:rsidR="00041CD4">
        <w:t>y</w:t>
      </w:r>
      <w:r>
        <w:t xml:space="preserve"> within the totality of their scope of clinical and laboratory practice, to the same level as expected of their full-time colleagues. This requires ongoing, active participation in clinical work. The quantity and content of clinical service delivery that is necessary to maintain a Licence to Practice with a scope of practice that includes clinical </w:t>
      </w:r>
      <w:proofErr w:type="gramStart"/>
      <w:r>
        <w:t>microbiology</w:t>
      </w:r>
      <w:proofErr w:type="gramEnd"/>
      <w:r>
        <w:t xml:space="preserve"> or virology is a matter for the consultant</w:t>
      </w:r>
      <w:r w:rsidR="00D21CEB" w:rsidRPr="0092076F">
        <w:rPr>
          <w:iCs/>
        </w:rPr>
        <w:t>/specialty</w:t>
      </w:r>
      <w:r w:rsidR="00D21CEB">
        <w:rPr>
          <w:iCs/>
        </w:rPr>
        <w:t>/specialist</w:t>
      </w:r>
      <w:r w:rsidR="00D21CEB" w:rsidRPr="0092076F">
        <w:rPr>
          <w:iCs/>
        </w:rPr>
        <w:t xml:space="preserve"> doctor</w:t>
      </w:r>
      <w:r>
        <w:t>, their appraiser, and Responsible Officer.</w:t>
      </w:r>
    </w:p>
    <w:p w14:paraId="437C6207" w14:textId="7AA0C87B" w:rsidR="00550278" w:rsidRDefault="00D73A89" w:rsidP="00995735">
      <w:pPr>
        <w:spacing w:after="120"/>
      </w:pPr>
      <w:r>
        <w:t>The responsibility for determination of a consultant’s</w:t>
      </w:r>
      <w:r w:rsidR="00D21CEB" w:rsidRPr="0092076F">
        <w:rPr>
          <w:iCs/>
        </w:rPr>
        <w:t>/specialty</w:t>
      </w:r>
      <w:r w:rsidR="00D21CEB">
        <w:rPr>
          <w:iCs/>
        </w:rPr>
        <w:t>/specialist</w:t>
      </w:r>
      <w:r w:rsidR="00D21CEB" w:rsidRPr="0092076F">
        <w:rPr>
          <w:iCs/>
        </w:rPr>
        <w:t xml:space="preserve"> doctor</w:t>
      </w:r>
      <w:r w:rsidR="00D21CEB">
        <w:rPr>
          <w:iCs/>
        </w:rPr>
        <w:t>'</w:t>
      </w:r>
      <w:r w:rsidR="00D21CEB" w:rsidRPr="0092076F">
        <w:rPr>
          <w:iCs/>
        </w:rPr>
        <w:t>s</w:t>
      </w:r>
      <w:r>
        <w:t xml:space="preserve"> competenc</w:t>
      </w:r>
      <w:r w:rsidR="00041CD4">
        <w:t>y</w:t>
      </w:r>
      <w:r>
        <w:t xml:space="preserve"> to deliver the service that it requires of the individual consultant lies with the organisation that employs or appoints the doctor and will be specific to the duties expected. This will usually be the NHS Trust where the clinical service is delivered. Normally, the responsibility will be delegated to the head of the microbiology</w:t>
      </w:r>
      <w:r w:rsidR="002E6DDF">
        <w:t>/virology</w:t>
      </w:r>
      <w:r>
        <w:t xml:space="preserve"> or infection </w:t>
      </w:r>
      <w:r w:rsidR="005611C2">
        <w:t xml:space="preserve">service </w:t>
      </w:r>
      <w:r>
        <w:t>department.</w:t>
      </w:r>
      <w:r w:rsidR="0020539B">
        <w:t xml:space="preserve"> Independent hospitals often secure laboratory services from a </w:t>
      </w:r>
      <w:r w:rsidR="001B4285">
        <w:t>location or</w:t>
      </w:r>
      <w:r w:rsidR="0020539B">
        <w:t xml:space="preserve"> organisation</w:t>
      </w:r>
      <w:r w:rsidR="00F3747D">
        <w:t xml:space="preserve"> separate from the infection clinicians providing advice on investigation and results.</w:t>
      </w:r>
      <w:r w:rsidR="0066433E">
        <w:t xml:space="preserve"> </w:t>
      </w:r>
      <w:r w:rsidR="00F3747D">
        <w:t>A</w:t>
      </w:r>
      <w:r w:rsidR="0066433E">
        <w:t>rrangements must be in place to demonstrate the competenc</w:t>
      </w:r>
      <w:r w:rsidR="00041CD4">
        <w:t>y</w:t>
      </w:r>
      <w:r w:rsidR="0066433E">
        <w:t xml:space="preserve"> of such consultants</w:t>
      </w:r>
      <w:r w:rsidR="00D21CEB" w:rsidRPr="0092076F">
        <w:rPr>
          <w:iCs/>
        </w:rPr>
        <w:t>/specialty</w:t>
      </w:r>
      <w:r w:rsidR="00D21CEB">
        <w:rPr>
          <w:iCs/>
        </w:rPr>
        <w:t>/specialist</w:t>
      </w:r>
      <w:r w:rsidR="00D21CEB" w:rsidRPr="0092076F">
        <w:rPr>
          <w:iCs/>
        </w:rPr>
        <w:t xml:space="preserve"> doctors</w:t>
      </w:r>
      <w:r w:rsidR="0066433E">
        <w:t xml:space="preserve"> on an ongoing </w:t>
      </w:r>
      <w:r w:rsidR="001B4285">
        <w:t>basis,</w:t>
      </w:r>
      <w:r w:rsidR="00F3747D">
        <w:t xml:space="preserve"> and this must reflect their scope of practice</w:t>
      </w:r>
      <w:r w:rsidR="0066433E">
        <w:t xml:space="preserve">. </w:t>
      </w:r>
    </w:p>
    <w:p w14:paraId="2E6DCA52" w14:textId="3572C3F6" w:rsidR="00154CC7" w:rsidRDefault="00154CC7" w:rsidP="00995735">
      <w:pPr>
        <w:spacing w:after="120"/>
        <w:rPr>
          <w:b/>
          <w:bCs/>
        </w:rPr>
      </w:pPr>
      <w:r>
        <w:rPr>
          <w:b/>
          <w:bCs/>
        </w:rPr>
        <w:t>Scope</w:t>
      </w:r>
    </w:p>
    <w:p w14:paraId="5789C0DF" w14:textId="2FF57BB2" w:rsidR="00154CC7" w:rsidRPr="00154CC7" w:rsidRDefault="00154CC7" w:rsidP="00995735">
      <w:pPr>
        <w:spacing w:after="120"/>
      </w:pPr>
      <w:r>
        <w:t xml:space="preserve">This document describes the </w:t>
      </w:r>
      <w:r w:rsidR="00E20BD1">
        <w:t xml:space="preserve">competency process for </w:t>
      </w:r>
      <w:r w:rsidR="00612567" w:rsidRPr="00612567">
        <w:t xml:space="preserve">medical microbiology and virology </w:t>
      </w:r>
      <w:r w:rsidR="00E20BD1">
        <w:t xml:space="preserve">consultants and specialty/specialist doctors. It does not apply to doctors and/or scientists in training. They have different competency assessments as defined in their curriculums. </w:t>
      </w:r>
    </w:p>
    <w:p w14:paraId="15C970A6" w14:textId="77777777" w:rsidR="00457E49" w:rsidRPr="00D21CEB" w:rsidRDefault="00A4438C" w:rsidP="0002603C">
      <w:pPr>
        <w:keepNext/>
        <w:spacing w:before="240" w:after="120"/>
        <w:rPr>
          <w:b/>
          <w:bCs/>
        </w:rPr>
      </w:pPr>
      <w:r w:rsidRPr="00D21CEB">
        <w:rPr>
          <w:b/>
          <w:bCs/>
        </w:rPr>
        <w:t>Specialist Registration</w:t>
      </w:r>
    </w:p>
    <w:p w14:paraId="61183538" w14:textId="77777777" w:rsidR="001B5506" w:rsidRDefault="00073C4D" w:rsidP="00995735">
      <w:pPr>
        <w:spacing w:after="120"/>
      </w:pPr>
      <w:r>
        <w:t xml:space="preserve">All substantive consultants working in the NHS </w:t>
      </w:r>
      <w:r w:rsidR="00995735">
        <w:t xml:space="preserve">are required by law to </w:t>
      </w:r>
      <w:r>
        <w:t xml:space="preserve">be on the Specialist Register. However, the law does not specify that consultants working in any specified field must hold specialist certification in that </w:t>
      </w:r>
      <w:r w:rsidR="001B4285">
        <w:t>specialty</w:t>
      </w:r>
      <w:r>
        <w:t>: that is a matter for appointments committees</w:t>
      </w:r>
      <w:r w:rsidR="0066433E">
        <w:t xml:space="preserve"> and </w:t>
      </w:r>
    </w:p>
    <w:p w14:paraId="6BF35C6E" w14:textId="1438C632" w:rsidR="00995735" w:rsidRDefault="0066433E" w:rsidP="00995735">
      <w:pPr>
        <w:spacing w:after="120"/>
      </w:pPr>
      <w:r>
        <w:t>employing / appointing organisations</w:t>
      </w:r>
      <w:r w:rsidR="00073C4D">
        <w:t>. Most private hospitals work to the same standard.</w:t>
      </w:r>
    </w:p>
    <w:p w14:paraId="722DD6C7" w14:textId="77777777" w:rsidR="00073C4D" w:rsidRDefault="00040F10" w:rsidP="0002603C">
      <w:pPr>
        <w:spacing w:after="120"/>
      </w:pPr>
      <w:r>
        <w:t>T</w:t>
      </w:r>
      <w:r w:rsidR="00073C4D">
        <w:t xml:space="preserve">here is no legal obligation on Trusts to employ </w:t>
      </w:r>
      <w:r w:rsidR="00995735">
        <w:t xml:space="preserve">or appoint </w:t>
      </w:r>
      <w:r w:rsidR="00073C4D">
        <w:t>locum consultants who are on the specialist register.</w:t>
      </w:r>
    </w:p>
    <w:p w14:paraId="63958302" w14:textId="53D2D436" w:rsidR="004953AA" w:rsidRDefault="00A4438C" w:rsidP="0002603C">
      <w:pPr>
        <w:spacing w:after="120"/>
      </w:pPr>
      <w:r>
        <w:t>M</w:t>
      </w:r>
      <w:r w:rsidR="004953AA">
        <w:t xml:space="preserve">any consultants will have specialist certification in Medical Microbiology and </w:t>
      </w:r>
      <w:r w:rsidR="001B4285">
        <w:t>Virology but</w:t>
      </w:r>
      <w:r w:rsidR="004953AA">
        <w:t xml:space="preserve"> would have </w:t>
      </w:r>
      <w:r w:rsidR="00807588">
        <w:t xml:space="preserve">followed a training curriculum and been </w:t>
      </w:r>
      <w:r w:rsidR="004953AA">
        <w:t xml:space="preserve">assessed in either microbiology or virology. </w:t>
      </w:r>
      <w:r w:rsidR="00F94704">
        <w:t xml:space="preserve">More recently, specialist certification is </w:t>
      </w:r>
      <w:r w:rsidR="00457E49">
        <w:t xml:space="preserve">specifically </w:t>
      </w:r>
      <w:r w:rsidR="00F94704">
        <w:t>in Microbiology or Virology. C</w:t>
      </w:r>
      <w:r w:rsidR="004953AA">
        <w:t>onsultants</w:t>
      </w:r>
      <w:r w:rsidR="00F94704">
        <w:t xml:space="preserve"> with </w:t>
      </w:r>
      <w:r w:rsidR="005611C2">
        <w:t>a Certification</w:t>
      </w:r>
      <w:r w:rsidR="00DC2243">
        <w:t xml:space="preserve"> of completion of training (</w:t>
      </w:r>
      <w:r w:rsidR="005611C2">
        <w:t>CCT)</w:t>
      </w:r>
      <w:r w:rsidR="00DC2243">
        <w:t xml:space="preserve"> </w:t>
      </w:r>
      <w:r w:rsidR="00F94704">
        <w:t>in Medical Microbiology and Virology, but who had been assessed in virology, or consultants with a Medical Microbiology CCT</w:t>
      </w:r>
      <w:r w:rsidR="004953AA">
        <w:t>, particularly i</w:t>
      </w:r>
      <w:r w:rsidR="00F94704">
        <w:t>f working i</w:t>
      </w:r>
      <w:r w:rsidR="004953AA">
        <w:t>n general hospitals, may oversee certain categories of virology testing and result issue</w:t>
      </w:r>
      <w:r w:rsidR="00F94704">
        <w:t>. Conversely, the scope of practice of some consultants trained and assessed in Virology may include general microbiology, including bacteriology to a greater or lesser extent. The same principles of demonstration of competenc</w:t>
      </w:r>
      <w:r w:rsidR="00041CD4">
        <w:t>y</w:t>
      </w:r>
      <w:r w:rsidR="00F94704">
        <w:t xml:space="preserve"> across the individual consultant’s scope of practice appl</w:t>
      </w:r>
      <w:r w:rsidR="00493610">
        <w:t>y</w:t>
      </w:r>
      <w:r w:rsidR="00F94704">
        <w:t>.</w:t>
      </w:r>
    </w:p>
    <w:p w14:paraId="32322F24" w14:textId="469B5E1C" w:rsidR="00457E49" w:rsidRDefault="00457E49" w:rsidP="0002603C">
      <w:pPr>
        <w:spacing w:after="120"/>
      </w:pPr>
      <w:r>
        <w:t>In some settings, particularly if there has been difficulty with recruitment of certified specialists in microbiology</w:t>
      </w:r>
      <w:r w:rsidR="00D62049">
        <w:t xml:space="preserve"> </w:t>
      </w:r>
      <w:r>
        <w:t>/</w:t>
      </w:r>
      <w:r w:rsidR="00D62049">
        <w:t xml:space="preserve"> </w:t>
      </w:r>
      <w:r>
        <w:t>virology, laboratory duties may be undertaken by specialists certified in another specialty, for example in infectious diseases. Such consultants must have demonstrable competenc</w:t>
      </w:r>
      <w:r w:rsidR="00041CD4">
        <w:t>y</w:t>
      </w:r>
      <w:r>
        <w:t xml:space="preserve"> to deliver these duties, and the onus lies with the </w:t>
      </w:r>
      <w:r w:rsidR="00A32A76">
        <w:t>laboratory management to ensure that this is demonstrated to be the case</w:t>
      </w:r>
      <w:r w:rsidR="00E04579">
        <w:t xml:space="preserve"> at the time that the consultant takes on these duties and periodica</w:t>
      </w:r>
      <w:r w:rsidR="00D62049">
        <w:t>l</w:t>
      </w:r>
      <w:r w:rsidR="00E04579">
        <w:t>ly thereafter</w:t>
      </w:r>
      <w:r w:rsidR="00A32A76">
        <w:t>.</w:t>
      </w:r>
    </w:p>
    <w:p w14:paraId="2C2D00E8" w14:textId="77777777" w:rsidR="00E04579" w:rsidRPr="00D62049" w:rsidRDefault="00E04579" w:rsidP="003E0958">
      <w:pPr>
        <w:keepNext/>
        <w:spacing w:after="60"/>
        <w:rPr>
          <w:i/>
        </w:rPr>
      </w:pPr>
      <w:r w:rsidRPr="00D62049">
        <w:rPr>
          <w:i/>
        </w:rPr>
        <w:lastRenderedPageBreak/>
        <w:t>Recommendation</w:t>
      </w:r>
    </w:p>
    <w:p w14:paraId="75381C28" w14:textId="6CA93F65" w:rsidR="00040F10" w:rsidRPr="003E0958" w:rsidRDefault="00E04579" w:rsidP="00E04579">
      <w:pPr>
        <w:spacing w:after="120"/>
        <w:rPr>
          <w:i/>
        </w:rPr>
      </w:pPr>
      <w:r w:rsidRPr="003E0958">
        <w:rPr>
          <w:i/>
        </w:rPr>
        <w:t xml:space="preserve">The Association </w:t>
      </w:r>
      <w:r w:rsidRPr="005611C2">
        <w:rPr>
          <w:i/>
        </w:rPr>
        <w:t xml:space="preserve">recommends that </w:t>
      </w:r>
      <w:r w:rsidR="00DC2243" w:rsidRPr="005611C2">
        <w:rPr>
          <w:i/>
        </w:rPr>
        <w:t>infection s</w:t>
      </w:r>
      <w:r w:rsidR="005611C2" w:rsidRPr="005611C2">
        <w:rPr>
          <w:i/>
        </w:rPr>
        <w:t xml:space="preserve">ervice </w:t>
      </w:r>
      <w:r w:rsidRPr="005611C2">
        <w:rPr>
          <w:i/>
        </w:rPr>
        <w:t xml:space="preserve">departments </w:t>
      </w:r>
      <w:r w:rsidR="00DC2243" w:rsidRPr="005611C2">
        <w:rPr>
          <w:i/>
        </w:rPr>
        <w:t xml:space="preserve">which have a role in laboratory diagnostics </w:t>
      </w:r>
      <w:r w:rsidRPr="005611C2">
        <w:rPr>
          <w:i/>
        </w:rPr>
        <w:t xml:space="preserve">should, </w:t>
      </w:r>
      <w:r w:rsidR="00D027CF" w:rsidRPr="00CF2B33">
        <w:rPr>
          <w:i/>
        </w:rPr>
        <w:t>ideally</w:t>
      </w:r>
      <w:r w:rsidRPr="003E0958">
        <w:rPr>
          <w:i/>
        </w:rPr>
        <w:t xml:space="preserve">, ensure that </w:t>
      </w:r>
      <w:r w:rsidR="00D62049" w:rsidRPr="003E0958">
        <w:rPr>
          <w:i/>
        </w:rPr>
        <w:t>consultants whose duties include laboratory oversight and result reporting should be</w:t>
      </w:r>
      <w:r w:rsidR="00D027CF">
        <w:rPr>
          <w:i/>
        </w:rPr>
        <w:t xml:space="preserve"> certified</w:t>
      </w:r>
      <w:r w:rsidR="00D62049" w:rsidRPr="003E0958">
        <w:rPr>
          <w:i/>
        </w:rPr>
        <w:t xml:space="preserve"> in microbiology / virology as appropr</w:t>
      </w:r>
      <w:r w:rsidR="000F4212">
        <w:rPr>
          <w:i/>
        </w:rPr>
        <w:t xml:space="preserve">iate and be </w:t>
      </w:r>
      <w:r w:rsidR="00D027CF">
        <w:rPr>
          <w:i/>
        </w:rPr>
        <w:t xml:space="preserve">on </w:t>
      </w:r>
      <w:r w:rsidR="00D62049" w:rsidRPr="003E0958">
        <w:rPr>
          <w:i/>
        </w:rPr>
        <w:t>the specialist register.</w:t>
      </w:r>
      <w:r w:rsidR="003E0958">
        <w:rPr>
          <w:i/>
        </w:rPr>
        <w:br/>
        <w:t xml:space="preserve">Should a situation arise whereby the laboratory does not </w:t>
      </w:r>
      <w:r w:rsidR="00733288">
        <w:rPr>
          <w:i/>
        </w:rPr>
        <w:t>have</w:t>
      </w:r>
      <w:r w:rsidR="003E0958">
        <w:rPr>
          <w:i/>
        </w:rPr>
        <w:t xml:space="preserve"> sufficient consultants on its staff to undertake </w:t>
      </w:r>
      <w:r w:rsidR="00733288">
        <w:rPr>
          <w:i/>
        </w:rPr>
        <w:t xml:space="preserve">the </w:t>
      </w:r>
      <w:r w:rsidR="003E0958">
        <w:rPr>
          <w:i/>
        </w:rPr>
        <w:t xml:space="preserve">duties normally delivered by </w:t>
      </w:r>
      <w:r w:rsidR="00D027CF" w:rsidRPr="00D21CEB">
        <w:rPr>
          <w:i/>
        </w:rPr>
        <w:t>a certified</w:t>
      </w:r>
      <w:r w:rsidR="003E0958" w:rsidRPr="00D21CEB">
        <w:rPr>
          <w:i/>
        </w:rPr>
        <w:t xml:space="preserve"> specialist</w:t>
      </w:r>
      <w:r w:rsidR="003E0958">
        <w:rPr>
          <w:i/>
        </w:rPr>
        <w:t xml:space="preserve"> in microbiology / virology </w:t>
      </w:r>
      <w:r w:rsidR="00733288">
        <w:rPr>
          <w:i/>
        </w:rPr>
        <w:t>the laboratory’s management should ensure that</w:t>
      </w:r>
      <w:r w:rsidR="008469DC">
        <w:rPr>
          <w:i/>
        </w:rPr>
        <w:t>, following a risk assessment,</w:t>
      </w:r>
      <w:r w:rsidR="00733288">
        <w:rPr>
          <w:i/>
        </w:rPr>
        <w:t xml:space="preserve"> the consultants who deliver this work have been assessed formally </w:t>
      </w:r>
      <w:r w:rsidR="0091334F">
        <w:rPr>
          <w:i/>
        </w:rPr>
        <w:t xml:space="preserve">to </w:t>
      </w:r>
      <w:r w:rsidR="009E24A9">
        <w:rPr>
          <w:i/>
        </w:rPr>
        <w:t>have</w:t>
      </w:r>
      <w:r w:rsidR="0091334F">
        <w:rPr>
          <w:i/>
        </w:rPr>
        <w:t xml:space="preserve"> competen</w:t>
      </w:r>
      <w:r w:rsidR="009E24A9">
        <w:rPr>
          <w:i/>
        </w:rPr>
        <w:t>cy</w:t>
      </w:r>
      <w:r w:rsidR="0091334F">
        <w:rPr>
          <w:i/>
        </w:rPr>
        <w:t xml:space="preserve"> to undertake these tasks </w:t>
      </w:r>
      <w:r w:rsidR="00733288">
        <w:rPr>
          <w:i/>
        </w:rPr>
        <w:t>at the outset and periodically thereafter</w:t>
      </w:r>
      <w:r w:rsidR="00014003">
        <w:rPr>
          <w:i/>
        </w:rPr>
        <w:t xml:space="preserve"> (including whenever </w:t>
      </w:r>
      <w:r w:rsidR="00A168D2">
        <w:rPr>
          <w:i/>
        </w:rPr>
        <w:t xml:space="preserve">significant </w:t>
      </w:r>
      <w:r w:rsidR="00014003">
        <w:rPr>
          <w:i/>
        </w:rPr>
        <w:t xml:space="preserve">changes are agreed in the consultant’s </w:t>
      </w:r>
      <w:r w:rsidR="00A168D2">
        <w:rPr>
          <w:i/>
        </w:rPr>
        <w:t>laboratory duties</w:t>
      </w:r>
      <w:r w:rsidR="00014003">
        <w:rPr>
          <w:i/>
        </w:rPr>
        <w:t>)</w:t>
      </w:r>
      <w:r w:rsidR="00733288">
        <w:rPr>
          <w:i/>
        </w:rPr>
        <w:t>.</w:t>
      </w:r>
    </w:p>
    <w:p w14:paraId="049D1190" w14:textId="3F1CCCFA" w:rsidR="00EB4A66" w:rsidRPr="00D21CEB" w:rsidRDefault="00EB4A66" w:rsidP="00EB4A66">
      <w:pPr>
        <w:keepNext/>
        <w:spacing w:before="240" w:after="120"/>
        <w:rPr>
          <w:b/>
          <w:bCs/>
        </w:rPr>
      </w:pPr>
      <w:r w:rsidRPr="00D21CEB">
        <w:rPr>
          <w:b/>
          <w:bCs/>
        </w:rPr>
        <w:t>Management of vacancies: utilisation of locum consultants</w:t>
      </w:r>
      <w:r w:rsidR="00E44D44">
        <w:rPr>
          <w:b/>
          <w:bCs/>
        </w:rPr>
        <w:t xml:space="preserve"> </w:t>
      </w:r>
      <w:r w:rsidR="00E44D44" w:rsidRPr="00D21CEB">
        <w:rPr>
          <w:b/>
          <w:bCs/>
        </w:rPr>
        <w:t>and specialty</w:t>
      </w:r>
      <w:r w:rsidR="00D21CEB">
        <w:rPr>
          <w:b/>
          <w:bCs/>
        </w:rPr>
        <w:t>/specialist</w:t>
      </w:r>
      <w:r w:rsidR="00E44D44" w:rsidRPr="00D21CEB">
        <w:rPr>
          <w:b/>
          <w:bCs/>
        </w:rPr>
        <w:t xml:space="preserve"> doctors</w:t>
      </w:r>
    </w:p>
    <w:p w14:paraId="00A4EC6C" w14:textId="2ED01776" w:rsidR="00E44D44" w:rsidRDefault="00883CB5" w:rsidP="0002603C">
      <w:pPr>
        <w:spacing w:after="120"/>
      </w:pPr>
      <w:r>
        <w:t>Currently t</w:t>
      </w:r>
      <w:r w:rsidR="00995735">
        <w:t xml:space="preserve">here is a </w:t>
      </w:r>
      <w:r w:rsidR="00040F10">
        <w:t>severe shortage of consultant microbiologists</w:t>
      </w:r>
      <w:r w:rsidR="00D027CF">
        <w:t xml:space="preserve"> </w:t>
      </w:r>
      <w:r w:rsidR="00D027CF" w:rsidRPr="00D21CEB">
        <w:t>and virologists</w:t>
      </w:r>
      <w:r w:rsidR="00040F10">
        <w:t xml:space="preserve"> on the specialist register</w:t>
      </w:r>
      <w:r w:rsidR="00ED34E0">
        <w:t xml:space="preserve">. </w:t>
      </w:r>
      <w:r w:rsidR="001B4285">
        <w:t>Consequently</w:t>
      </w:r>
      <w:r w:rsidR="00040F10">
        <w:t xml:space="preserve">, many departments are running with vacancies, placing an inappropriate load on remaining staff. In some circumstances, departments rely on locums, some of whom are not on the UK specialist register and have not </w:t>
      </w:r>
      <w:r w:rsidR="00ED34E0">
        <w:t>be</w:t>
      </w:r>
      <w:r w:rsidR="0002603C">
        <w:t>en</w:t>
      </w:r>
      <w:r w:rsidR="00ED34E0">
        <w:t xml:space="preserve"> assessed formally to have </w:t>
      </w:r>
      <w:r w:rsidR="00040F10">
        <w:t xml:space="preserve">equivalent experience and training in the specialty. Others may only </w:t>
      </w:r>
      <w:r w:rsidR="0091334F">
        <w:t>undertake</w:t>
      </w:r>
      <w:r w:rsidR="00040F10">
        <w:t xml:space="preserve"> occasional duties. As many such doctors are recruited through agencies, individuals are often contracted to join departments at very short notice and often when there are no other substantive consultants on the department’s staff. This places </w:t>
      </w:r>
      <w:proofErr w:type="gramStart"/>
      <w:r w:rsidR="00040F10">
        <w:t>particular challenges</w:t>
      </w:r>
      <w:proofErr w:type="gramEnd"/>
      <w:r w:rsidR="00040F10">
        <w:t xml:space="preserve"> to departments in assuring themselves of the competenc</w:t>
      </w:r>
      <w:r w:rsidR="009E24A9">
        <w:t>y</w:t>
      </w:r>
      <w:r w:rsidR="00040F10">
        <w:t xml:space="preserve"> of the temporary staff recruited</w:t>
      </w:r>
      <w:r w:rsidR="00040F10" w:rsidRPr="00D21CEB">
        <w:t>.</w:t>
      </w:r>
      <w:r w:rsidR="00E44D44" w:rsidRPr="00CF2B33">
        <w:t xml:space="preserve"> </w:t>
      </w:r>
      <w:r w:rsidR="00E44D44" w:rsidRPr="00D21CEB">
        <w:t>In all cases, a careful assessment of their competenc</w:t>
      </w:r>
      <w:r w:rsidR="009E24A9">
        <w:t>y</w:t>
      </w:r>
      <w:r w:rsidR="00E44D44" w:rsidRPr="00D21CEB">
        <w:t xml:space="preserve"> must be undertaken prior to appointment.</w:t>
      </w:r>
    </w:p>
    <w:p w14:paraId="4FA3CB17" w14:textId="77777777" w:rsidR="00D11556" w:rsidRPr="00D62049" w:rsidRDefault="00D11556" w:rsidP="00D11556">
      <w:pPr>
        <w:keepNext/>
        <w:spacing w:after="60"/>
        <w:rPr>
          <w:i/>
        </w:rPr>
      </w:pPr>
      <w:r w:rsidRPr="00D62049">
        <w:rPr>
          <w:i/>
        </w:rPr>
        <w:t>Recommendation</w:t>
      </w:r>
    </w:p>
    <w:p w14:paraId="59B31708" w14:textId="2194D067" w:rsidR="00D11556" w:rsidRPr="003E0958" w:rsidRDefault="00D11556" w:rsidP="00D11556">
      <w:pPr>
        <w:spacing w:after="120"/>
        <w:rPr>
          <w:i/>
        </w:rPr>
      </w:pPr>
      <w:r w:rsidRPr="003E0958">
        <w:rPr>
          <w:i/>
        </w:rPr>
        <w:t xml:space="preserve">The Association recommends that </w:t>
      </w:r>
      <w:r w:rsidR="00883CB5">
        <w:rPr>
          <w:i/>
        </w:rPr>
        <w:t>infection s</w:t>
      </w:r>
      <w:r w:rsidR="005611C2">
        <w:rPr>
          <w:i/>
        </w:rPr>
        <w:t>ervi</w:t>
      </w:r>
      <w:r w:rsidR="00883CB5">
        <w:rPr>
          <w:i/>
        </w:rPr>
        <w:t xml:space="preserve">ce </w:t>
      </w:r>
      <w:r w:rsidRPr="003E0958">
        <w:rPr>
          <w:i/>
        </w:rPr>
        <w:t xml:space="preserve">departments should ensure that </w:t>
      </w:r>
      <w:r>
        <w:rPr>
          <w:i/>
        </w:rPr>
        <w:t xml:space="preserve">all </w:t>
      </w:r>
      <w:r w:rsidRPr="003E0958">
        <w:rPr>
          <w:i/>
        </w:rPr>
        <w:t>consultants</w:t>
      </w:r>
      <w:r w:rsidR="002153A0" w:rsidRPr="00D21CEB">
        <w:rPr>
          <w:i/>
        </w:rPr>
        <w:t>/specialty</w:t>
      </w:r>
      <w:r w:rsidR="00D21CEB" w:rsidRPr="00D21CEB">
        <w:rPr>
          <w:i/>
        </w:rPr>
        <w:t>/specialist</w:t>
      </w:r>
      <w:r w:rsidR="002153A0" w:rsidRPr="00D21CEB">
        <w:rPr>
          <w:i/>
        </w:rPr>
        <w:t xml:space="preserve"> doctors</w:t>
      </w:r>
      <w:r>
        <w:rPr>
          <w:i/>
        </w:rPr>
        <w:t xml:space="preserve"> who are appointed or employed on a temporary basis and</w:t>
      </w:r>
      <w:r w:rsidRPr="003E0958">
        <w:rPr>
          <w:i/>
        </w:rPr>
        <w:t xml:space="preserve"> whose duties include laboratory oversight and result reporting</w:t>
      </w:r>
      <w:r w:rsidR="00A1134A">
        <w:rPr>
          <w:i/>
        </w:rPr>
        <w:t xml:space="preserve"> ideally</w:t>
      </w:r>
      <w:r w:rsidRPr="003E0958">
        <w:rPr>
          <w:i/>
        </w:rPr>
        <w:t xml:space="preserve"> should be</w:t>
      </w:r>
      <w:r w:rsidR="00EB4388">
        <w:rPr>
          <w:i/>
        </w:rPr>
        <w:t xml:space="preserve"> </w:t>
      </w:r>
      <w:r w:rsidR="00EB4388" w:rsidRPr="00D21CEB">
        <w:rPr>
          <w:i/>
        </w:rPr>
        <w:t>RCPath</w:t>
      </w:r>
      <w:r w:rsidRPr="00D21CEB">
        <w:rPr>
          <w:i/>
        </w:rPr>
        <w:t xml:space="preserve"> </w:t>
      </w:r>
      <w:r w:rsidR="00E44D44" w:rsidRPr="00D21CEB">
        <w:rPr>
          <w:i/>
        </w:rPr>
        <w:t>certified</w:t>
      </w:r>
      <w:r w:rsidR="002153A0" w:rsidRPr="00D21CEB">
        <w:rPr>
          <w:i/>
        </w:rPr>
        <w:t>/trained</w:t>
      </w:r>
      <w:r w:rsidR="00E44D44" w:rsidRPr="00D21CEB">
        <w:rPr>
          <w:i/>
        </w:rPr>
        <w:t xml:space="preserve"> </w:t>
      </w:r>
      <w:r w:rsidRPr="00D21CEB">
        <w:rPr>
          <w:i/>
        </w:rPr>
        <w:t xml:space="preserve">specialists in microbiology </w:t>
      </w:r>
      <w:r w:rsidR="00A1134A" w:rsidRPr="00D21CEB">
        <w:rPr>
          <w:i/>
        </w:rPr>
        <w:t>and</w:t>
      </w:r>
      <w:r w:rsidRPr="00D21CEB">
        <w:rPr>
          <w:i/>
        </w:rPr>
        <w:t>/</w:t>
      </w:r>
      <w:r w:rsidR="00A1134A" w:rsidRPr="00D21CEB">
        <w:rPr>
          <w:i/>
        </w:rPr>
        <w:t>or</w:t>
      </w:r>
      <w:r w:rsidRPr="00D21CEB">
        <w:rPr>
          <w:i/>
        </w:rPr>
        <w:t xml:space="preserve"> virology </w:t>
      </w:r>
      <w:r w:rsidR="00E44D44" w:rsidRPr="00D21CEB">
        <w:rPr>
          <w:i/>
        </w:rPr>
        <w:t>or hold equivalency</w:t>
      </w:r>
      <w:r w:rsidR="00A1134A" w:rsidRPr="00D21CEB">
        <w:rPr>
          <w:i/>
        </w:rPr>
        <w:t xml:space="preserve">. </w:t>
      </w:r>
      <w:r w:rsidR="00E44D44" w:rsidRPr="00D21CEB">
        <w:rPr>
          <w:i/>
        </w:rPr>
        <w:t>S</w:t>
      </w:r>
      <w:r w:rsidR="00A1134A" w:rsidRPr="00D21CEB">
        <w:rPr>
          <w:i/>
        </w:rPr>
        <w:t>uch</w:t>
      </w:r>
      <w:r w:rsidR="00A1134A">
        <w:rPr>
          <w:i/>
        </w:rPr>
        <w:t xml:space="preserve"> staff must </w:t>
      </w:r>
      <w:r w:rsidR="00E44D44">
        <w:rPr>
          <w:i/>
        </w:rPr>
        <w:t>be</w:t>
      </w:r>
      <w:r>
        <w:rPr>
          <w:i/>
        </w:rPr>
        <w:t xml:space="preserve"> assessed</w:t>
      </w:r>
      <w:r w:rsidR="00A1134A">
        <w:rPr>
          <w:i/>
        </w:rPr>
        <w:t xml:space="preserve"> </w:t>
      </w:r>
      <w:r>
        <w:rPr>
          <w:i/>
        </w:rPr>
        <w:t xml:space="preserve">to </w:t>
      </w:r>
      <w:r w:rsidR="009E24A9">
        <w:rPr>
          <w:i/>
        </w:rPr>
        <w:t>have</w:t>
      </w:r>
      <w:r>
        <w:rPr>
          <w:i/>
        </w:rPr>
        <w:t xml:space="preserve"> competen</w:t>
      </w:r>
      <w:r w:rsidR="009E24A9">
        <w:rPr>
          <w:i/>
        </w:rPr>
        <w:t>cy</w:t>
      </w:r>
      <w:r>
        <w:rPr>
          <w:i/>
        </w:rPr>
        <w:t xml:space="preserve"> to undertake their clinical and laboratory-related duties</w:t>
      </w:r>
      <w:r w:rsidR="0091334F">
        <w:rPr>
          <w:i/>
        </w:rPr>
        <w:t xml:space="preserve"> formally in a robust manner at the outset and at appropriate intervals thereafter</w:t>
      </w:r>
      <w:r>
        <w:rPr>
          <w:i/>
        </w:rPr>
        <w:t>.</w:t>
      </w:r>
    </w:p>
    <w:p w14:paraId="07305889" w14:textId="77777777" w:rsidR="009843C4" w:rsidRPr="00D21CEB" w:rsidRDefault="00247666" w:rsidP="000943A7">
      <w:pPr>
        <w:keepNext/>
        <w:spacing w:before="240" w:after="120"/>
        <w:rPr>
          <w:b/>
          <w:bCs/>
        </w:rPr>
      </w:pPr>
      <w:r w:rsidRPr="00D21CEB">
        <w:rPr>
          <w:b/>
          <w:bCs/>
        </w:rPr>
        <w:t>Appointment process</w:t>
      </w:r>
    </w:p>
    <w:p w14:paraId="64C1405B" w14:textId="1C6638D2" w:rsidR="001C7A41" w:rsidRDefault="00247666" w:rsidP="000943A7">
      <w:pPr>
        <w:spacing w:after="120"/>
      </w:pPr>
      <w:r>
        <w:t xml:space="preserve">All consultants should be appointed through </w:t>
      </w:r>
      <w:r w:rsidR="00ED34E0">
        <w:t xml:space="preserve">a </w:t>
      </w:r>
      <w:r>
        <w:t>properly constituted appointments committee</w:t>
      </w:r>
      <w:r w:rsidR="008F579C">
        <w:t xml:space="preserve"> that includes external member(s), normally nominated by the Royal College of Pathologists</w:t>
      </w:r>
      <w:r>
        <w:t>.</w:t>
      </w:r>
      <w:r w:rsidR="008F579C">
        <w:t xml:space="preserve"> </w:t>
      </w:r>
      <w:r w:rsidR="00D3512E" w:rsidRPr="00CF2B33">
        <w:t>However, depending on the remit of the consultant for example</w:t>
      </w:r>
      <w:r w:rsidR="00D3512E" w:rsidRPr="00D21CEB">
        <w:t xml:space="preserve"> a post with duties in both medical microbiology/virology and infectious diseases, a representative from another College such as the Royal College of Physicians may be more appropriate. </w:t>
      </w:r>
      <w:r w:rsidR="008F579C" w:rsidRPr="00D21CEB">
        <w:t>In certain cases, for example award of an</w:t>
      </w:r>
      <w:r w:rsidR="008F579C">
        <w:t xml:space="preserve"> honorary contract to facilitate clinical work for an academic, the appointment may be made by the head of the </w:t>
      </w:r>
      <w:r w:rsidR="00883CB5" w:rsidRPr="005611C2">
        <w:t xml:space="preserve">infection </w:t>
      </w:r>
      <w:r w:rsidR="00D3512E" w:rsidRPr="005611C2">
        <w:t>s</w:t>
      </w:r>
      <w:r w:rsidR="00D3512E">
        <w:t xml:space="preserve">ervice </w:t>
      </w:r>
      <w:r w:rsidR="008F579C">
        <w:t xml:space="preserve">department. However, whatever the appointment </w:t>
      </w:r>
      <w:r w:rsidR="001B4285">
        <w:t>processes</w:t>
      </w:r>
      <w:r w:rsidR="008F579C">
        <w:t>, the competenc</w:t>
      </w:r>
      <w:r w:rsidR="009E24A9">
        <w:t>y</w:t>
      </w:r>
      <w:r w:rsidR="008F579C">
        <w:t xml:space="preserve"> of the consultant to undertake </w:t>
      </w:r>
      <w:r w:rsidR="001C7A41">
        <w:t xml:space="preserve">the </w:t>
      </w:r>
      <w:r w:rsidR="008F579C">
        <w:t xml:space="preserve">clinical work </w:t>
      </w:r>
      <w:r w:rsidR="001C7A41">
        <w:t xml:space="preserve">expected </w:t>
      </w:r>
      <w:r w:rsidR="008F579C">
        <w:t xml:space="preserve">will need to be reviewed robustly before any clinical </w:t>
      </w:r>
      <w:r w:rsidR="001C7A41">
        <w:t>duties</w:t>
      </w:r>
      <w:r w:rsidR="008F579C">
        <w:t xml:space="preserve"> commence</w:t>
      </w:r>
      <w:r w:rsidR="008F579C" w:rsidRPr="00D21CEB">
        <w:t>.</w:t>
      </w:r>
      <w:r w:rsidR="00D3512E" w:rsidRPr="00CF2B33">
        <w:t xml:space="preserve"> </w:t>
      </w:r>
      <w:r w:rsidR="00D3512E" w:rsidRPr="00D21CEB">
        <w:t xml:space="preserve">The Association recommends that all clinicians must actively participate in direct clinical work </w:t>
      </w:r>
      <w:r w:rsidR="00154CC7" w:rsidRPr="00D21CEB">
        <w:t>to</w:t>
      </w:r>
      <w:r w:rsidR="00D3512E" w:rsidRPr="00D21CEB">
        <w:t xml:space="preserve"> demonstrate clinical competenc</w:t>
      </w:r>
      <w:r w:rsidR="009E24A9">
        <w:t>y</w:t>
      </w:r>
      <w:r w:rsidR="00D3512E" w:rsidRPr="00D21CEB">
        <w:t>. The level of clinical work undertaken to demonstrate this remains within the discretion of the department but would be expected to be approximately 25% of the PA allocation for a consultant participating in any duty rota, especially an out of hours one.</w:t>
      </w:r>
    </w:p>
    <w:p w14:paraId="2B9F6603" w14:textId="19114FC0" w:rsidR="00DC02E2" w:rsidRDefault="00D36D80" w:rsidP="000943A7">
      <w:pPr>
        <w:spacing w:after="120"/>
      </w:pPr>
      <w:r>
        <w:lastRenderedPageBreak/>
        <w:t>A robust process is also required to ensure competenc</w:t>
      </w:r>
      <w:r w:rsidR="009E24A9">
        <w:t>y</w:t>
      </w:r>
      <w:r>
        <w:t xml:space="preserve"> of those appointed to locum posts for the reasons outlined above.</w:t>
      </w:r>
    </w:p>
    <w:p w14:paraId="6D7EAF34" w14:textId="77777777" w:rsidR="005D00DE" w:rsidRPr="00E41A5C" w:rsidRDefault="005D00DE" w:rsidP="00E41A5C">
      <w:pPr>
        <w:keepNext/>
        <w:spacing w:after="60"/>
        <w:rPr>
          <w:i/>
        </w:rPr>
      </w:pPr>
      <w:r w:rsidRPr="00E41A5C">
        <w:rPr>
          <w:i/>
        </w:rPr>
        <w:t>Recommendation</w:t>
      </w:r>
    </w:p>
    <w:p w14:paraId="30144751" w14:textId="0A22E66F" w:rsidR="005D00DE" w:rsidRPr="00E41A5C" w:rsidRDefault="00A23CB0" w:rsidP="00995735">
      <w:pPr>
        <w:spacing w:after="120"/>
        <w:rPr>
          <w:i/>
        </w:rPr>
      </w:pPr>
      <w:r>
        <w:rPr>
          <w:i/>
        </w:rPr>
        <w:t>The Association</w:t>
      </w:r>
      <w:r w:rsidR="005D00DE" w:rsidRPr="00E41A5C">
        <w:rPr>
          <w:i/>
        </w:rPr>
        <w:t xml:space="preserve"> recommends that </w:t>
      </w:r>
      <w:r w:rsidR="00136E1A">
        <w:rPr>
          <w:i/>
        </w:rPr>
        <w:t xml:space="preserve">employing organisations </w:t>
      </w:r>
      <w:r w:rsidR="005D00DE" w:rsidRPr="00E41A5C">
        <w:rPr>
          <w:i/>
        </w:rPr>
        <w:t>ensure that all substantive</w:t>
      </w:r>
      <w:r w:rsidR="00D21CEB">
        <w:rPr>
          <w:i/>
        </w:rPr>
        <w:t xml:space="preserve"> consultant</w:t>
      </w:r>
      <w:r w:rsidR="005D00DE" w:rsidRPr="00E41A5C">
        <w:rPr>
          <w:i/>
        </w:rPr>
        <w:t xml:space="preserve"> appointment</w:t>
      </w:r>
      <w:r w:rsidR="00136E1A">
        <w:rPr>
          <w:i/>
        </w:rPr>
        <w:t xml:space="preserve"> </w:t>
      </w:r>
      <w:r w:rsidR="00FE6E0A">
        <w:rPr>
          <w:i/>
        </w:rPr>
        <w:t>committees</w:t>
      </w:r>
      <w:r w:rsidR="00CD6697">
        <w:rPr>
          <w:i/>
        </w:rPr>
        <w:t xml:space="preserve"> ideally</w:t>
      </w:r>
      <w:r w:rsidR="00FE6E0A">
        <w:rPr>
          <w:i/>
        </w:rPr>
        <w:t xml:space="preserve"> </w:t>
      </w:r>
      <w:r w:rsidR="00FE6E0A" w:rsidRPr="00E41A5C">
        <w:rPr>
          <w:i/>
        </w:rPr>
        <w:t>include</w:t>
      </w:r>
      <w:r w:rsidR="00E41A5C" w:rsidRPr="00E41A5C">
        <w:rPr>
          <w:i/>
        </w:rPr>
        <w:t xml:space="preserve"> a representative from the Royal College of Pathologists</w:t>
      </w:r>
      <w:r w:rsidR="00CD6697">
        <w:rPr>
          <w:i/>
        </w:rPr>
        <w:t xml:space="preserve"> or equivalent</w:t>
      </w:r>
      <w:r w:rsidR="00E41A5C" w:rsidRPr="00E41A5C">
        <w:rPr>
          <w:i/>
        </w:rPr>
        <w:t>.</w:t>
      </w:r>
      <w:r w:rsidR="00E41A5C" w:rsidRPr="00E41A5C">
        <w:rPr>
          <w:i/>
        </w:rPr>
        <w:br/>
        <w:t xml:space="preserve">All appointments of locums or honorary consultants </w:t>
      </w:r>
      <w:r w:rsidR="00EE3A47">
        <w:rPr>
          <w:i/>
        </w:rPr>
        <w:t xml:space="preserve">should </w:t>
      </w:r>
      <w:r w:rsidR="00E41A5C" w:rsidRPr="00E41A5C">
        <w:rPr>
          <w:i/>
        </w:rPr>
        <w:t xml:space="preserve">include </w:t>
      </w:r>
      <w:r w:rsidR="000A331B">
        <w:rPr>
          <w:i/>
        </w:rPr>
        <w:t xml:space="preserve">robust </w:t>
      </w:r>
      <w:r w:rsidR="00E41A5C" w:rsidRPr="00E41A5C">
        <w:rPr>
          <w:i/>
        </w:rPr>
        <w:t>review of competenc</w:t>
      </w:r>
      <w:r w:rsidR="009E24A9">
        <w:rPr>
          <w:i/>
        </w:rPr>
        <w:t>y</w:t>
      </w:r>
      <w:r w:rsidR="00E41A5C" w:rsidRPr="00E41A5C">
        <w:rPr>
          <w:i/>
        </w:rPr>
        <w:t xml:space="preserve"> to undertake the role.</w:t>
      </w:r>
    </w:p>
    <w:p w14:paraId="1500B7C9" w14:textId="77777777" w:rsidR="000367D1" w:rsidRPr="00D21CEB" w:rsidRDefault="009843C4" w:rsidP="000943A7">
      <w:pPr>
        <w:keepNext/>
        <w:spacing w:before="240" w:after="120"/>
        <w:rPr>
          <w:b/>
          <w:bCs/>
        </w:rPr>
      </w:pPr>
      <w:r w:rsidRPr="00D21CEB">
        <w:rPr>
          <w:b/>
          <w:bCs/>
        </w:rPr>
        <w:t>Appraisals</w:t>
      </w:r>
    </w:p>
    <w:p w14:paraId="579746D3" w14:textId="70FB01DC" w:rsidR="000367D1" w:rsidRDefault="00CB0736" w:rsidP="000943A7">
      <w:pPr>
        <w:spacing w:after="120"/>
      </w:pPr>
      <w:r>
        <w:t xml:space="preserve">All </w:t>
      </w:r>
      <w:r w:rsidR="0093487D" w:rsidRPr="0093487D">
        <w:t>clinicians</w:t>
      </w:r>
      <w:r>
        <w:t xml:space="preserve"> who have a </w:t>
      </w:r>
      <w:r w:rsidR="0091334F">
        <w:t xml:space="preserve">Licence </w:t>
      </w:r>
      <w:r>
        <w:t xml:space="preserve">to </w:t>
      </w:r>
      <w:r w:rsidR="0091334F">
        <w:t>Practice</w:t>
      </w:r>
      <w:r w:rsidR="00EE2634" w:rsidRPr="00D846E1">
        <w:t>/HCPC registration</w:t>
      </w:r>
      <w:r w:rsidR="0091334F">
        <w:t xml:space="preserve"> </w:t>
      </w:r>
      <w:r>
        <w:t xml:space="preserve">must participate in </w:t>
      </w:r>
      <w:r w:rsidR="00FA4D40">
        <w:t xml:space="preserve">professional </w:t>
      </w:r>
      <w:r>
        <w:t xml:space="preserve">appraisal, normally annually, and be revalidated, normally every five years. The appraisal process is run by Trusts and </w:t>
      </w:r>
      <w:r w:rsidR="00E20BD1">
        <w:t xml:space="preserve">for doctors, </w:t>
      </w:r>
      <w:r>
        <w:t>other bodies recognised by the GMC</w:t>
      </w:r>
      <w:r w:rsidR="00B23F14">
        <w:t xml:space="preserve"> for this </w:t>
      </w:r>
      <w:r w:rsidR="000B342A">
        <w:t>purpose,</w:t>
      </w:r>
      <w:r w:rsidR="00B23F14">
        <w:t xml:space="preserve"> and they make recommendations to the GMC regarding doctors’ revalidation.</w:t>
      </w:r>
    </w:p>
    <w:p w14:paraId="052AD477" w14:textId="72C65450" w:rsidR="0093487D" w:rsidRDefault="00275F50" w:rsidP="00275F50">
      <w:pPr>
        <w:spacing w:after="120"/>
      </w:pPr>
      <w:r>
        <w:t xml:space="preserve">The appraisal discussion itself is confidential. </w:t>
      </w:r>
      <w:r w:rsidR="00E20BD1">
        <w:t>For doctors, t</w:t>
      </w:r>
      <w:r>
        <w:t xml:space="preserve">he formal output of the appraisal is submitted to the </w:t>
      </w:r>
      <w:r w:rsidR="00560C22">
        <w:t>clinician</w:t>
      </w:r>
      <w:r>
        <w:t>’s Responsible Officer (RO) who makes a recommendation to the General Medical Council on the revalidation of that doctor. Arrangements should be in place for the RO to utilise the appraisal output, in conjunction with any other relevant information, to notify the Head of the Laboratory of any concerns that might affect patient safety.</w:t>
      </w:r>
      <w:r w:rsidR="0093487D">
        <w:t xml:space="preserve"> </w:t>
      </w:r>
    </w:p>
    <w:p w14:paraId="680E66CE" w14:textId="3CCDB1B5" w:rsidR="00C86704" w:rsidRDefault="00C86704" w:rsidP="00275F50">
      <w:pPr>
        <w:spacing w:after="120"/>
      </w:pPr>
      <w:r>
        <w:t>There is much debate about the place of professional appraisal in the demonstration or determination of competenc</w:t>
      </w:r>
      <w:r w:rsidR="009E24A9">
        <w:t>y</w:t>
      </w:r>
      <w:r>
        <w:t>. It is commonly believed that a professional appraisal assesses the consultant’s competenc</w:t>
      </w:r>
      <w:r w:rsidR="009E24A9">
        <w:t>y</w:t>
      </w:r>
      <w:r>
        <w:t>. However, according to the Medical Appraisal Guide (Revalidation Support Team, 2013), “Medical appraisal is a process of facilitated self-review supported by information gathered from the full scope of a doctor’s work”. It therefore follows from this definition that medical appraisal on its own does not provide assurance of a consultant’s competenc</w:t>
      </w:r>
      <w:r w:rsidR="009E24A9">
        <w:t>y</w:t>
      </w:r>
      <w:r>
        <w:t>.</w:t>
      </w:r>
    </w:p>
    <w:p w14:paraId="307A9F34" w14:textId="3D9D7F78" w:rsidR="006101E4" w:rsidRDefault="0093487D" w:rsidP="00275F50">
      <w:pPr>
        <w:spacing w:after="120"/>
      </w:pPr>
      <w:r w:rsidRPr="00EE2634">
        <w:t>For consultant Clinical Scientists, appraisal is an annual process which</w:t>
      </w:r>
      <w:r w:rsidR="00E20BD1">
        <w:t xml:space="preserve"> may</w:t>
      </w:r>
      <w:r w:rsidRPr="00EE2634">
        <w:t xml:space="preserve"> </w:t>
      </w:r>
      <w:r w:rsidR="000963C2" w:rsidRPr="00EE2634">
        <w:t xml:space="preserve">include </w:t>
      </w:r>
      <w:r w:rsidR="00560C22" w:rsidRPr="00EE2634">
        <w:t>a</w:t>
      </w:r>
      <w:r w:rsidR="00560C22">
        <w:t>n</w:t>
      </w:r>
      <w:r w:rsidR="00560C22" w:rsidRPr="00EE2634">
        <w:t xml:space="preserve"> </w:t>
      </w:r>
      <w:r w:rsidR="000963C2" w:rsidRPr="00EE2634">
        <w:t xml:space="preserve">assessment of competency. This may vary between </w:t>
      </w:r>
      <w:r w:rsidR="005611C2" w:rsidRPr="00EE2634">
        <w:t>trusts,</w:t>
      </w:r>
      <w:r w:rsidR="000963C2" w:rsidRPr="00EE2634">
        <w:t xml:space="preserve"> but it</w:t>
      </w:r>
      <w:r w:rsidR="005F35F2" w:rsidRPr="00EE2634">
        <w:t xml:space="preserve"> is</w:t>
      </w:r>
      <w:r w:rsidR="000963C2" w:rsidRPr="00EE2634">
        <w:t xml:space="preserve"> not too dissimilar to that of a medical consultant with regards to demonstration of </w:t>
      </w:r>
      <w:r w:rsidR="001C5A04" w:rsidRPr="00EE2634">
        <w:t>up-to-date</w:t>
      </w:r>
      <w:r w:rsidR="000963C2" w:rsidRPr="00EE2634">
        <w:t xml:space="preserve"> registration with a professional body (</w:t>
      </w:r>
      <w:r w:rsidR="00DC02E2" w:rsidRPr="00EE2634">
        <w:t>e.g.,</w:t>
      </w:r>
      <w:r w:rsidR="000963C2" w:rsidRPr="00EE2634">
        <w:t xml:space="preserve"> </w:t>
      </w:r>
      <w:r w:rsidR="008501C2" w:rsidRPr="00EE2634">
        <w:t xml:space="preserve">Health and Care Professions </w:t>
      </w:r>
      <w:r w:rsidR="00EE2634" w:rsidRPr="00EE2634">
        <w:t>Council (HCPC) register</w:t>
      </w:r>
      <w:r w:rsidR="000963C2" w:rsidRPr="00EE2634">
        <w:t xml:space="preserve">), up to date appraisal (within the last 12 months) and evidence of relevant CPD. The role of the consultant clinical scientist within a diagnostic infection laboratory may differ depending on the job description and role within the infection service. </w:t>
      </w:r>
    </w:p>
    <w:p w14:paraId="6184FE51" w14:textId="582908E2" w:rsidR="00275F50" w:rsidRDefault="006101E4" w:rsidP="00275F50">
      <w:pPr>
        <w:spacing w:after="120"/>
      </w:pPr>
      <w:r>
        <w:t xml:space="preserve">Regardless, the clinical component of any consultant in an infection service should be similar for medical and clinical scientist consultants. Peer review is an important part of competency assessment and should form </w:t>
      </w:r>
      <w:r w:rsidR="008036F2">
        <w:t xml:space="preserve">part of a regular programme of </w:t>
      </w:r>
      <w:r w:rsidR="00B85E58">
        <w:t>case discussions.</w:t>
      </w:r>
    </w:p>
    <w:p w14:paraId="6ED21508" w14:textId="7275FFCB" w:rsidR="007F6BFF" w:rsidRDefault="00F71398" w:rsidP="00995735">
      <w:pPr>
        <w:spacing w:after="120"/>
      </w:pPr>
      <w:r>
        <w:t>A</w:t>
      </w:r>
      <w:r w:rsidR="00B23F14">
        <w:t xml:space="preserve">ppraisals, although always undertaken by </w:t>
      </w:r>
      <w:r w:rsidR="0093487D" w:rsidRPr="00EE2634">
        <w:t>clinicians</w:t>
      </w:r>
      <w:r w:rsidR="00042FC2">
        <w:t xml:space="preserve"> trained in appraisal, may be undertaken by those in a very different speciality from microbiolog</w:t>
      </w:r>
      <w:r w:rsidR="00ED34E0">
        <w:t>y</w:t>
      </w:r>
      <w:r w:rsidR="007C18B4">
        <w:t xml:space="preserve"> or virology</w:t>
      </w:r>
      <w:r w:rsidR="00042FC2">
        <w:t xml:space="preserve"> and </w:t>
      </w:r>
      <w:r w:rsidR="00ED34E0">
        <w:t xml:space="preserve">the appraiser </w:t>
      </w:r>
      <w:r w:rsidR="00042FC2">
        <w:t xml:space="preserve">may not understand the intricacies of the </w:t>
      </w:r>
      <w:r w:rsidR="007C18B4">
        <w:t>consultant’s</w:t>
      </w:r>
      <w:r w:rsidR="00560C22" w:rsidRPr="0092076F">
        <w:rPr>
          <w:iCs/>
        </w:rPr>
        <w:t>/speciality</w:t>
      </w:r>
      <w:r w:rsidR="00560C22">
        <w:rPr>
          <w:iCs/>
        </w:rPr>
        <w:t>/specialist</w:t>
      </w:r>
      <w:r w:rsidR="00560C22" w:rsidRPr="0092076F">
        <w:rPr>
          <w:iCs/>
        </w:rPr>
        <w:t xml:space="preserve"> doctor</w:t>
      </w:r>
      <w:r w:rsidR="00560C22">
        <w:rPr>
          <w:iCs/>
        </w:rPr>
        <w:t>’</w:t>
      </w:r>
      <w:r w:rsidR="00560C22" w:rsidRPr="0092076F">
        <w:rPr>
          <w:iCs/>
        </w:rPr>
        <w:t>s</w:t>
      </w:r>
      <w:r w:rsidR="007C18B4">
        <w:t xml:space="preserve"> </w:t>
      </w:r>
      <w:r w:rsidR="00042FC2">
        <w:t xml:space="preserve">practice. This is </w:t>
      </w:r>
      <w:r w:rsidR="008B212E">
        <w:t xml:space="preserve">of </w:t>
      </w:r>
      <w:r w:rsidR="00042FC2">
        <w:t>especial</w:t>
      </w:r>
      <w:r w:rsidR="008B212E">
        <w:t xml:space="preserve"> importance</w:t>
      </w:r>
      <w:r w:rsidR="00042FC2">
        <w:t xml:space="preserve"> in the case of locum consultants who need not be on th</w:t>
      </w:r>
      <w:r w:rsidR="0060777A">
        <w:t>e specialist register</w:t>
      </w:r>
      <w:r w:rsidR="0075533E">
        <w:t xml:space="preserve"> and whose appraisals will not normally have been undertaken within the organisation in which the locum consulta</w:t>
      </w:r>
      <w:r w:rsidR="004953AA">
        <w:t>nt is working.</w:t>
      </w:r>
    </w:p>
    <w:p w14:paraId="0C7DCC8B" w14:textId="0FD791D7" w:rsidR="00BE2111" w:rsidRDefault="00BE2111" w:rsidP="00995735">
      <w:pPr>
        <w:spacing w:after="120"/>
      </w:pPr>
      <w:r>
        <w:t>It is important that in situations when this is relevant, the appraisal should ensure that the consultant</w:t>
      </w:r>
      <w:r w:rsidR="00560C22" w:rsidRPr="0092076F">
        <w:rPr>
          <w:iCs/>
        </w:rPr>
        <w:t>/specialty</w:t>
      </w:r>
      <w:r w:rsidR="00560C22">
        <w:rPr>
          <w:iCs/>
        </w:rPr>
        <w:t>/specialist</w:t>
      </w:r>
      <w:r w:rsidR="00560C22" w:rsidRPr="0092076F">
        <w:rPr>
          <w:iCs/>
        </w:rPr>
        <w:t xml:space="preserve"> doctor</w:t>
      </w:r>
      <w:r>
        <w:t xml:space="preserve"> has </w:t>
      </w:r>
      <w:r w:rsidR="00DC02E2">
        <w:t>considered</w:t>
      </w:r>
      <w:r>
        <w:t xml:space="preserve"> any limitations in competenc</w:t>
      </w:r>
      <w:r w:rsidR="009E24A9">
        <w:t>y</w:t>
      </w:r>
      <w:r w:rsidR="008B212E">
        <w:t xml:space="preserve"> </w:t>
      </w:r>
      <w:r w:rsidR="00DC02E2">
        <w:t>e.g.,</w:t>
      </w:r>
      <w:r w:rsidR="008B212E">
        <w:t xml:space="preserve"> due to health or </w:t>
      </w:r>
      <w:r>
        <w:t xml:space="preserve">lack of familiarity with </w:t>
      </w:r>
      <w:r w:rsidR="008B212E">
        <w:t>relevant</w:t>
      </w:r>
      <w:r>
        <w:t xml:space="preserve"> technology.</w:t>
      </w:r>
    </w:p>
    <w:p w14:paraId="555ABBA4" w14:textId="77777777" w:rsidR="001034AD" w:rsidRPr="001034AD" w:rsidRDefault="001034AD" w:rsidP="00F87067">
      <w:pPr>
        <w:keepNext/>
        <w:spacing w:after="60"/>
        <w:rPr>
          <w:i/>
        </w:rPr>
      </w:pPr>
      <w:r w:rsidRPr="001034AD">
        <w:rPr>
          <w:i/>
        </w:rPr>
        <w:lastRenderedPageBreak/>
        <w:t>Recommendation</w:t>
      </w:r>
    </w:p>
    <w:p w14:paraId="6D9DA5C9" w14:textId="6CA6E6A6" w:rsidR="009D5FD4" w:rsidRDefault="00F71398" w:rsidP="00995735">
      <w:pPr>
        <w:spacing w:after="120"/>
        <w:rPr>
          <w:i/>
        </w:rPr>
      </w:pPr>
      <w:r>
        <w:rPr>
          <w:i/>
        </w:rPr>
        <w:t xml:space="preserve">Every doctor must engage in the appraisal process in order to retain </w:t>
      </w:r>
      <w:r w:rsidR="00D36D80">
        <w:rPr>
          <w:i/>
        </w:rPr>
        <w:t>their</w:t>
      </w:r>
      <w:r>
        <w:rPr>
          <w:i/>
        </w:rPr>
        <w:t xml:space="preserve"> </w:t>
      </w:r>
      <w:r w:rsidR="003A1A8D">
        <w:rPr>
          <w:i/>
        </w:rPr>
        <w:t xml:space="preserve">Licence </w:t>
      </w:r>
      <w:r>
        <w:rPr>
          <w:i/>
        </w:rPr>
        <w:t xml:space="preserve">to </w:t>
      </w:r>
      <w:r w:rsidR="003A1A8D">
        <w:rPr>
          <w:i/>
        </w:rPr>
        <w:t>Practice</w:t>
      </w:r>
      <w:r>
        <w:rPr>
          <w:i/>
        </w:rPr>
        <w:t>.</w:t>
      </w:r>
      <w:r>
        <w:rPr>
          <w:i/>
        </w:rPr>
        <w:br/>
        <w:t xml:space="preserve">The appraisal discussion itself is confidential, however, it is essential that arrangements are put into place so that the Responsible Officer notifies the </w:t>
      </w:r>
      <w:r w:rsidR="003A1A8D">
        <w:rPr>
          <w:i/>
        </w:rPr>
        <w:t xml:space="preserve">clinical </w:t>
      </w:r>
      <w:r>
        <w:rPr>
          <w:i/>
        </w:rPr>
        <w:t xml:space="preserve">Head of the Laboratory should </w:t>
      </w:r>
      <w:r w:rsidR="0041737F">
        <w:rPr>
          <w:i/>
        </w:rPr>
        <w:t>there be any evidence of gaps in a consultant’s competenc</w:t>
      </w:r>
      <w:r w:rsidR="009E24A9">
        <w:rPr>
          <w:i/>
        </w:rPr>
        <w:t>y</w:t>
      </w:r>
      <w:r w:rsidR="0041737F">
        <w:rPr>
          <w:i/>
        </w:rPr>
        <w:t xml:space="preserve">, as relevant to </w:t>
      </w:r>
      <w:r w:rsidR="00D36D80">
        <w:rPr>
          <w:i/>
        </w:rPr>
        <w:t>their</w:t>
      </w:r>
      <w:r w:rsidR="0041737F">
        <w:rPr>
          <w:i/>
        </w:rPr>
        <w:t xml:space="preserve"> scope of practice.</w:t>
      </w:r>
    </w:p>
    <w:p w14:paraId="14DD6F74" w14:textId="1D976B34" w:rsidR="0041737F" w:rsidRDefault="0041737F" w:rsidP="00995735">
      <w:pPr>
        <w:spacing w:after="120"/>
        <w:rPr>
          <w:i/>
        </w:rPr>
      </w:pPr>
      <w:r>
        <w:rPr>
          <w:i/>
        </w:rPr>
        <w:br/>
        <w:t xml:space="preserve">In the context of consultants who work at multiple </w:t>
      </w:r>
      <w:r w:rsidR="00966931">
        <w:rPr>
          <w:i/>
        </w:rPr>
        <w:t>organisations,</w:t>
      </w:r>
      <w:r>
        <w:rPr>
          <w:i/>
        </w:rPr>
        <w:t xml:space="preserve"> </w:t>
      </w:r>
      <w:r w:rsidR="00BF057F">
        <w:rPr>
          <w:i/>
        </w:rPr>
        <w:t xml:space="preserve">where one or more of </w:t>
      </w:r>
      <w:r>
        <w:rPr>
          <w:i/>
        </w:rPr>
        <w:t>the hospital or laboratory’s management is not the consultant’s Designated Body, robust arrangements must be in place to ensure that the consultant’s competenc</w:t>
      </w:r>
      <w:r w:rsidR="009E24A9">
        <w:rPr>
          <w:i/>
        </w:rPr>
        <w:t>y</w:t>
      </w:r>
      <w:r>
        <w:rPr>
          <w:i/>
        </w:rPr>
        <w:t xml:space="preserve"> is assessed on</w:t>
      </w:r>
      <w:r w:rsidR="008B212E">
        <w:rPr>
          <w:i/>
        </w:rPr>
        <w:t xml:space="preserve"> an</w:t>
      </w:r>
      <w:r>
        <w:rPr>
          <w:i/>
        </w:rPr>
        <w:t xml:space="preserve"> ongoing basis. In the case of </w:t>
      </w:r>
      <w:r w:rsidR="00B85E58">
        <w:rPr>
          <w:i/>
        </w:rPr>
        <w:t>short-term</w:t>
      </w:r>
      <w:r>
        <w:rPr>
          <w:i/>
        </w:rPr>
        <w:t xml:space="preserve"> locums, it is recommended that the appraisal status of such consultants is checked </w:t>
      </w:r>
      <w:r w:rsidR="00B85E58">
        <w:rPr>
          <w:i/>
        </w:rPr>
        <w:t>carefully,</w:t>
      </w:r>
      <w:r>
        <w:rPr>
          <w:i/>
        </w:rPr>
        <w:t xml:space="preserve"> and the hospital or laboratory should ensure that the appraisal undertaken provides suitable evidence to support the local assessment of competenc</w:t>
      </w:r>
      <w:r w:rsidR="009E24A9">
        <w:rPr>
          <w:i/>
        </w:rPr>
        <w:t>y</w:t>
      </w:r>
      <w:r>
        <w:rPr>
          <w:i/>
        </w:rPr>
        <w:t xml:space="preserve"> </w:t>
      </w:r>
      <w:r w:rsidR="008868C8">
        <w:rPr>
          <w:i/>
        </w:rPr>
        <w:t xml:space="preserve">process </w:t>
      </w:r>
      <w:r>
        <w:rPr>
          <w:i/>
        </w:rPr>
        <w:t>prior to commencement.</w:t>
      </w:r>
    </w:p>
    <w:p w14:paraId="0E0965B3" w14:textId="67897062" w:rsidR="009843C4" w:rsidRPr="00560C22" w:rsidRDefault="009843C4" w:rsidP="000943A7">
      <w:pPr>
        <w:keepNext/>
        <w:spacing w:before="240" w:after="120"/>
        <w:rPr>
          <w:b/>
          <w:bCs/>
        </w:rPr>
      </w:pPr>
      <w:r w:rsidRPr="00560C22">
        <w:rPr>
          <w:b/>
          <w:bCs/>
        </w:rPr>
        <w:t>Continuing Professional Development</w:t>
      </w:r>
      <w:r w:rsidR="00DB1247" w:rsidRPr="00560C22">
        <w:rPr>
          <w:b/>
          <w:bCs/>
        </w:rPr>
        <w:t xml:space="preserve"> (CPD)</w:t>
      </w:r>
      <w:r w:rsidR="00AE3E6C" w:rsidRPr="00560C22">
        <w:rPr>
          <w:b/>
          <w:bCs/>
        </w:rPr>
        <w:t>.</w:t>
      </w:r>
    </w:p>
    <w:p w14:paraId="062D5B2F" w14:textId="77777777" w:rsidR="00AE3E6C" w:rsidRDefault="009843C4" w:rsidP="000943A7">
      <w:pPr>
        <w:spacing w:after="120"/>
      </w:pPr>
      <w:r>
        <w:t xml:space="preserve">As part of the appraisal process, review of a </w:t>
      </w:r>
      <w:r w:rsidR="0093487D">
        <w:t>clinician’s</w:t>
      </w:r>
      <w:r>
        <w:t xml:space="preserve"> CPD should be undertaken. In a good quality appraisal, the quality and qua</w:t>
      </w:r>
      <w:r w:rsidR="00656852">
        <w:t>nt</w:t>
      </w:r>
      <w:r>
        <w:t xml:space="preserve">ity of CPD undertaken in relation to the doctor’s scope of practice </w:t>
      </w:r>
      <w:r w:rsidR="00AA5191">
        <w:t>is</w:t>
      </w:r>
      <w:r>
        <w:t xml:space="preserve"> </w:t>
      </w:r>
      <w:r w:rsidR="00656852">
        <w:t>reviewed carefully</w:t>
      </w:r>
      <w:r>
        <w:t xml:space="preserve">. It is clearly impossible for a consultant to undertake comprehensive CPD across the whole of </w:t>
      </w:r>
      <w:r w:rsidR="00D36D80">
        <w:t>their</w:t>
      </w:r>
      <w:r>
        <w:t xml:space="preserve"> scope of practice</w:t>
      </w:r>
      <w:r w:rsidR="00A61179">
        <w:t xml:space="preserve"> on an annual basis. However, the consultant should ensure appropriate cover</w:t>
      </w:r>
      <w:r w:rsidR="00ED34E0">
        <w:t xml:space="preserve"> of this scope</w:t>
      </w:r>
      <w:r w:rsidR="00A61179">
        <w:t xml:space="preserve">, over </w:t>
      </w:r>
      <w:r w:rsidR="00EE2634">
        <w:t>a period</w:t>
      </w:r>
      <w:r w:rsidR="00A61179">
        <w:t>, say a 5-year revalidation cycle.</w:t>
      </w:r>
      <w:r>
        <w:t xml:space="preserve"> </w:t>
      </w:r>
      <w:r w:rsidR="00656852">
        <w:t>This should be reviewed at appraisal.</w:t>
      </w:r>
    </w:p>
    <w:p w14:paraId="56B295DD" w14:textId="77777777" w:rsidR="009E24A9" w:rsidRDefault="00AE3E6C" w:rsidP="000943A7">
      <w:pPr>
        <w:spacing w:after="120"/>
      </w:pPr>
      <w:r>
        <w:t>The UK NEQAS for interpretative comments in microbiology is a valuable CPD resource and selected questions are very useful for microbiologists and virologists, depending on their own scope of practice.</w:t>
      </w:r>
    </w:p>
    <w:p w14:paraId="198F2C1E" w14:textId="6683B328" w:rsidR="009843C4" w:rsidRDefault="0015243B" w:rsidP="000943A7">
      <w:pPr>
        <w:spacing w:after="120"/>
      </w:pPr>
      <w:r>
        <w:br/>
        <w:t>The detailed CPD portfolio is not confidential and should form part of the assessment of the individual consultant’s competenc</w:t>
      </w:r>
      <w:r w:rsidR="009E24A9">
        <w:t>y</w:t>
      </w:r>
      <w:r>
        <w:t>. Review of the portfolio is a legitimate element of quality assurance processes.</w:t>
      </w:r>
    </w:p>
    <w:p w14:paraId="249C3532" w14:textId="77777777" w:rsidR="00ED34E0" w:rsidRPr="001034AD" w:rsidRDefault="00ED34E0" w:rsidP="00F87067">
      <w:pPr>
        <w:keepNext/>
        <w:spacing w:after="60"/>
        <w:rPr>
          <w:i/>
        </w:rPr>
      </w:pPr>
      <w:r w:rsidRPr="001034AD">
        <w:rPr>
          <w:i/>
        </w:rPr>
        <w:t>Recommendation</w:t>
      </w:r>
    </w:p>
    <w:p w14:paraId="14E88B0D" w14:textId="77777777" w:rsidR="009E24A9" w:rsidRDefault="00E40AE4" w:rsidP="00995735">
      <w:pPr>
        <w:spacing w:after="120"/>
        <w:rPr>
          <w:i/>
        </w:rPr>
      </w:pPr>
      <w:r>
        <w:rPr>
          <w:i/>
        </w:rPr>
        <w:t>The Association</w:t>
      </w:r>
      <w:r w:rsidR="00ED34E0" w:rsidRPr="001034AD">
        <w:rPr>
          <w:i/>
        </w:rPr>
        <w:t xml:space="preserve"> recommends that </w:t>
      </w:r>
      <w:r w:rsidR="0093487D" w:rsidRPr="00EE2634">
        <w:rPr>
          <w:i/>
        </w:rPr>
        <w:t>all</w:t>
      </w:r>
      <w:r w:rsidR="0093487D">
        <w:rPr>
          <w:i/>
        </w:rPr>
        <w:t xml:space="preserve"> </w:t>
      </w:r>
      <w:r w:rsidR="00ED34E0" w:rsidRPr="001034AD">
        <w:rPr>
          <w:i/>
        </w:rPr>
        <w:t xml:space="preserve">consultants log the content of their CPD in a </w:t>
      </w:r>
      <w:r w:rsidR="00AE3E6C" w:rsidRPr="001034AD">
        <w:rPr>
          <w:i/>
        </w:rPr>
        <w:t>recognised portfolio</w:t>
      </w:r>
      <w:r w:rsidR="008B212E">
        <w:rPr>
          <w:i/>
        </w:rPr>
        <w:t xml:space="preserve"> such as those provided by the Royal Colleges</w:t>
      </w:r>
      <w:r w:rsidR="00ED34E0" w:rsidRPr="001034AD">
        <w:rPr>
          <w:i/>
        </w:rPr>
        <w:t>. The Portfolio should have the facility to produce a summary of the detail of CPD logged to enable review of the breadth and depth of CPD undertaken (not simply number of points accrued).</w:t>
      </w:r>
    </w:p>
    <w:p w14:paraId="17B17EC8" w14:textId="6D9D4066" w:rsidR="00ED34E0" w:rsidRPr="001034AD" w:rsidRDefault="008868C8" w:rsidP="00995735">
      <w:pPr>
        <w:spacing w:after="120"/>
        <w:rPr>
          <w:i/>
        </w:rPr>
      </w:pPr>
      <w:r>
        <w:rPr>
          <w:i/>
        </w:rPr>
        <w:br/>
      </w:r>
      <w:r w:rsidR="0015243B">
        <w:rPr>
          <w:i/>
        </w:rPr>
        <w:t>Review of the</w:t>
      </w:r>
      <w:r>
        <w:rPr>
          <w:i/>
        </w:rPr>
        <w:t xml:space="preserve"> </w:t>
      </w:r>
      <w:r w:rsidR="0015243B">
        <w:rPr>
          <w:i/>
        </w:rPr>
        <w:t>det</w:t>
      </w:r>
      <w:r w:rsidR="00E40AE4">
        <w:rPr>
          <w:i/>
        </w:rPr>
        <w:t>a</w:t>
      </w:r>
      <w:r w:rsidR="0015243B">
        <w:rPr>
          <w:i/>
        </w:rPr>
        <w:t xml:space="preserve">iled content of the CPD </w:t>
      </w:r>
      <w:r>
        <w:rPr>
          <w:i/>
        </w:rPr>
        <w:t xml:space="preserve">portfolio should </w:t>
      </w:r>
      <w:r w:rsidR="00E40AE4">
        <w:rPr>
          <w:i/>
        </w:rPr>
        <w:t>form</w:t>
      </w:r>
      <w:r>
        <w:rPr>
          <w:i/>
        </w:rPr>
        <w:t xml:space="preserve"> </w:t>
      </w:r>
      <w:r w:rsidR="00E40AE4">
        <w:rPr>
          <w:i/>
        </w:rPr>
        <w:t>an inte</w:t>
      </w:r>
      <w:r w:rsidR="0015243B">
        <w:rPr>
          <w:i/>
        </w:rPr>
        <w:t>gral part of the process of assessment of competenc</w:t>
      </w:r>
      <w:r w:rsidR="009E24A9">
        <w:rPr>
          <w:i/>
        </w:rPr>
        <w:t>y</w:t>
      </w:r>
      <w:r w:rsidR="0015243B">
        <w:rPr>
          <w:i/>
        </w:rPr>
        <w:t xml:space="preserve"> of a consultant.</w:t>
      </w:r>
    </w:p>
    <w:p w14:paraId="31AB59A7" w14:textId="77777777" w:rsidR="00DB1247" w:rsidRPr="001034AD" w:rsidRDefault="00DB1247" w:rsidP="00DB1247">
      <w:pPr>
        <w:keepNext/>
        <w:spacing w:after="60"/>
        <w:rPr>
          <w:i/>
        </w:rPr>
      </w:pPr>
      <w:r w:rsidRPr="001034AD">
        <w:rPr>
          <w:i/>
        </w:rPr>
        <w:t>Recommendation</w:t>
      </w:r>
    </w:p>
    <w:p w14:paraId="159B2C85" w14:textId="0E8BCA81" w:rsidR="00DB1247" w:rsidRPr="00DB1247" w:rsidRDefault="00AD36AD">
      <w:pPr>
        <w:rPr>
          <w:i/>
        </w:rPr>
      </w:pPr>
      <w:r w:rsidRPr="00DB1247">
        <w:rPr>
          <w:i/>
        </w:rPr>
        <w:t>The Association endorses the UK NEQAS for interpretative comments in microbiology</w:t>
      </w:r>
      <w:r w:rsidR="00560C22">
        <w:rPr>
          <w:i/>
        </w:rPr>
        <w:t>/virology</w:t>
      </w:r>
      <w:r w:rsidRPr="00DB1247">
        <w:rPr>
          <w:i/>
        </w:rPr>
        <w:t xml:space="preserve"> </w:t>
      </w:r>
      <w:r w:rsidR="005E01EA">
        <w:rPr>
          <w:i/>
        </w:rPr>
        <w:t xml:space="preserve">scheme </w:t>
      </w:r>
      <w:r w:rsidRPr="00DB1247">
        <w:rPr>
          <w:i/>
        </w:rPr>
        <w:t xml:space="preserve">as </w:t>
      </w:r>
      <w:r w:rsidR="00EE3A47">
        <w:rPr>
          <w:i/>
        </w:rPr>
        <w:t>a</w:t>
      </w:r>
      <w:r w:rsidRPr="00DB1247">
        <w:rPr>
          <w:i/>
        </w:rPr>
        <w:t xml:space="preserve"> CPD resource.</w:t>
      </w:r>
      <w:r w:rsidR="003A40C3">
        <w:rPr>
          <w:i/>
        </w:rPr>
        <w:t xml:space="preserve"> The scheme may form a part of the assessment of competenc</w:t>
      </w:r>
      <w:r w:rsidR="009E24A9">
        <w:rPr>
          <w:i/>
        </w:rPr>
        <w:t>y</w:t>
      </w:r>
      <w:r w:rsidR="003A40C3">
        <w:rPr>
          <w:i/>
        </w:rPr>
        <w:t xml:space="preserve"> but is not sufficient on its own as it is unlikely to cover the entire scope of a consultant’s</w:t>
      </w:r>
      <w:r w:rsidR="00560C22" w:rsidRPr="0092076F">
        <w:rPr>
          <w:iCs/>
        </w:rPr>
        <w:t>/specialty</w:t>
      </w:r>
      <w:r w:rsidR="00560C22">
        <w:rPr>
          <w:iCs/>
        </w:rPr>
        <w:t>/specialist</w:t>
      </w:r>
      <w:r w:rsidR="00560C22" w:rsidRPr="0092076F">
        <w:rPr>
          <w:iCs/>
        </w:rPr>
        <w:t xml:space="preserve"> doctor</w:t>
      </w:r>
      <w:r w:rsidR="00560C22">
        <w:rPr>
          <w:iCs/>
        </w:rPr>
        <w:t>’</w:t>
      </w:r>
      <w:r w:rsidR="00560C22" w:rsidRPr="0092076F">
        <w:rPr>
          <w:iCs/>
        </w:rPr>
        <w:t>s</w:t>
      </w:r>
      <w:r w:rsidR="003A40C3">
        <w:rPr>
          <w:i/>
        </w:rPr>
        <w:t xml:space="preserve"> practice and it is possible to access the answers to questions from the scheme online.</w:t>
      </w:r>
    </w:p>
    <w:p w14:paraId="7D079D6A" w14:textId="77777777" w:rsidR="00544E44" w:rsidRPr="00560C22" w:rsidRDefault="00544E44" w:rsidP="00DB1247">
      <w:pPr>
        <w:keepNext/>
        <w:spacing w:before="240" w:after="120"/>
        <w:rPr>
          <w:b/>
          <w:bCs/>
        </w:rPr>
      </w:pPr>
      <w:r w:rsidRPr="00560C22">
        <w:rPr>
          <w:b/>
          <w:bCs/>
        </w:rPr>
        <w:lastRenderedPageBreak/>
        <w:t>Peer review</w:t>
      </w:r>
    </w:p>
    <w:p w14:paraId="077473E5" w14:textId="77777777" w:rsidR="009E24A9" w:rsidRDefault="00544E44" w:rsidP="00EC6944">
      <w:pPr>
        <w:spacing w:after="120"/>
      </w:pPr>
      <w:r>
        <w:t>Perhaps the most useful method by which a consultant</w:t>
      </w:r>
      <w:r w:rsidR="00154CC7">
        <w:t>/specialty/specialist doctor</w:t>
      </w:r>
      <w:r>
        <w:t xml:space="preserve"> can provide assurance of </w:t>
      </w:r>
      <w:r w:rsidR="00D36D80">
        <w:t>their</w:t>
      </w:r>
      <w:r>
        <w:t xml:space="preserve"> competenc</w:t>
      </w:r>
      <w:r w:rsidR="009E24A9">
        <w:t>y</w:t>
      </w:r>
      <w:r>
        <w:t xml:space="preserve"> is through peer review of </w:t>
      </w:r>
      <w:r w:rsidR="00D36D80">
        <w:t>their</w:t>
      </w:r>
      <w:r>
        <w:t xml:space="preserve"> practice.</w:t>
      </w:r>
      <w:r w:rsidR="00CF3F27">
        <w:t xml:space="preserve"> </w:t>
      </w:r>
    </w:p>
    <w:p w14:paraId="42563602" w14:textId="6D5F98C3" w:rsidR="00CF3F27" w:rsidRDefault="0041737F" w:rsidP="00EC6944">
      <w:pPr>
        <w:spacing w:after="120"/>
      </w:pPr>
      <w:r>
        <w:br/>
      </w:r>
      <w:r w:rsidR="00544E44">
        <w:t xml:space="preserve">This could take a variety of forms: most </w:t>
      </w:r>
      <w:r w:rsidR="00247666">
        <w:t xml:space="preserve">departments have clinical case meetings where all available staff gather to share and information on ongoing cases. Other departments may have handover meetings at the beginning and/or end of the week, or </w:t>
      </w:r>
      <w:r w:rsidR="00FE6E0A">
        <w:t>in-depth</w:t>
      </w:r>
      <w:r w:rsidR="00247666">
        <w:t xml:space="preserve"> case discussions periodically. The common critical factor is the opportunity for staff to </w:t>
      </w:r>
      <w:r w:rsidR="0040672A">
        <w:t xml:space="preserve">constructively </w:t>
      </w:r>
      <w:r w:rsidR="00247666">
        <w:t xml:space="preserve">challenge </w:t>
      </w:r>
      <w:r w:rsidR="00EE2634">
        <w:t>each other’s</w:t>
      </w:r>
      <w:r w:rsidR="00247666">
        <w:t xml:space="preserve"> clinical management decisions.</w:t>
      </w:r>
      <w:r w:rsidR="00726BD1">
        <w:t xml:space="preserve"> This is also very helpful with development of consistency between c</w:t>
      </w:r>
      <w:r w:rsidR="00560C22">
        <w:t>linicians.</w:t>
      </w:r>
    </w:p>
    <w:p w14:paraId="282EE711" w14:textId="55FC6DEA" w:rsidR="00544E44" w:rsidRPr="00560C22" w:rsidRDefault="00CF3F27" w:rsidP="00EC6944">
      <w:pPr>
        <w:spacing w:after="120"/>
      </w:pPr>
      <w:r w:rsidRPr="00560C22">
        <w:t xml:space="preserve">Each department’s work schedule should include opportunities for peer review at regular intervals as per ISO 151:89. </w:t>
      </w:r>
      <w:r w:rsidR="0041737F" w:rsidRPr="00560C22">
        <w:t>Each department or laboratory should ensure that a suitable system f</w:t>
      </w:r>
      <w:r w:rsidR="009F0268" w:rsidRPr="00560C22">
        <w:t>or</w:t>
      </w:r>
      <w:r w:rsidR="0041737F" w:rsidRPr="00560C22">
        <w:t xml:space="preserve"> peer review </w:t>
      </w:r>
      <w:r w:rsidR="009F0268" w:rsidRPr="00560C22">
        <w:t>is in place and that consultants are facilitated and supported to participate in such activities.</w:t>
      </w:r>
      <w:r w:rsidR="00931FE1" w:rsidRPr="00560C22">
        <w:t xml:space="preserve"> This may prove challenging in small</w:t>
      </w:r>
      <w:r w:rsidRPr="00560C22">
        <w:t xml:space="preserve"> (less than three consultants)</w:t>
      </w:r>
      <w:r w:rsidR="00931FE1" w:rsidRPr="00560C22">
        <w:t>/single handed departments. Under these circumstances it is recommended that peer review networks are set up with other departments to ensure robust and regular peer review and support can be provided.</w:t>
      </w:r>
      <w:r w:rsidR="002B1D4C" w:rsidRPr="00560C22">
        <w:t xml:space="preserve"> Ideally this should be another infection specialty department as appropriate i.e. medical microbiology/virology, infectious diseases. The advent of remote</w:t>
      </w:r>
      <w:r w:rsidR="00E07973" w:rsidRPr="00560C22">
        <w:t>/hybrid</w:t>
      </w:r>
      <w:r w:rsidR="002B1D4C" w:rsidRPr="00560C22">
        <w:t xml:space="preserve"> meetings using online technology can help facilitate such reviews, provided there is governance in place in line with local and national processes. Other specialities such as acute medicine, genitourinary medicine and respiratory medicine are often heavily involved in management of patients with infection and may wish to participate.</w:t>
      </w:r>
      <w:r w:rsidR="00E07973" w:rsidRPr="00560C22">
        <w:t xml:space="preserve"> This should be actively encouraged as it offers a breadth of experience in infections.</w:t>
      </w:r>
    </w:p>
    <w:p w14:paraId="3761A35A" w14:textId="45AC61DC" w:rsidR="002B1D4C" w:rsidRDefault="002B1D4C" w:rsidP="00EC6944">
      <w:pPr>
        <w:spacing w:after="120"/>
      </w:pPr>
      <w:r w:rsidRPr="00560C22">
        <w:t xml:space="preserve">Peer review should ideally take place at least once a week. </w:t>
      </w:r>
      <w:r w:rsidR="00CF3F27" w:rsidRPr="00560C22">
        <w:t xml:space="preserve">Consideration should be given to more frequent peer reviews for departments with newly joined consultants/specialty doctors including locums. </w:t>
      </w:r>
      <w:r w:rsidRPr="00560C22">
        <w:t xml:space="preserve">The Association recommends that </w:t>
      </w:r>
      <w:r w:rsidR="007D60FF">
        <w:t xml:space="preserve">evidence of peer </w:t>
      </w:r>
      <w:r w:rsidRPr="00560C22">
        <w:t>review is documented electronically and updated as appropriate,</w:t>
      </w:r>
      <w:r w:rsidR="007D60FF" w:rsidRPr="007D60FF">
        <w:t xml:space="preserve"> </w:t>
      </w:r>
      <w:r w:rsidR="007D60FF">
        <w:t xml:space="preserve">with </w:t>
      </w:r>
      <w:r w:rsidR="007D60FF" w:rsidRPr="00560C22">
        <w:t>any recommendations and actions on any potential causes for concern</w:t>
      </w:r>
      <w:r w:rsidRPr="00560C22">
        <w:t xml:space="preserve"> using </w:t>
      </w:r>
      <w:r w:rsidR="00BF057F">
        <w:t xml:space="preserve">encrypted </w:t>
      </w:r>
      <w:r w:rsidRPr="00560C22">
        <w:t>shared drives and/or folders. Where sharing involves more than one organisation</w:t>
      </w:r>
      <w:r w:rsidR="00E07973" w:rsidRPr="00560C22">
        <w:t xml:space="preserve"> data may need to be anonymised</w:t>
      </w:r>
      <w:r w:rsidR="007D60FF">
        <w:t>.</w:t>
      </w:r>
      <w:r w:rsidR="00E07973" w:rsidRPr="00560C22">
        <w:t xml:space="preserve"> </w:t>
      </w:r>
      <w:r w:rsidR="007D60FF">
        <w:t>T</w:t>
      </w:r>
      <w:r w:rsidR="00CF3F27" w:rsidRPr="00560C22">
        <w:t xml:space="preserve">hese reviews should be </w:t>
      </w:r>
      <w:r w:rsidR="00E07973" w:rsidRPr="00560C22">
        <w:t>made available to any internal or external assessment bodies with a legitimate justification to review the information if required.</w:t>
      </w:r>
    </w:p>
    <w:p w14:paraId="1084A50B" w14:textId="61BAF0D3" w:rsidR="007F6A76" w:rsidRDefault="007F6A76" w:rsidP="00EC6944">
      <w:pPr>
        <w:spacing w:after="120"/>
      </w:pPr>
      <w:r>
        <w:t>Due to the variety of settings within departments (e.g., in pathology networks, infection departments, separate microbiology and virology departments etc), no one model of peer review can be recommended. However, appendix two provides an example of a peer review in terms of data captured.</w:t>
      </w:r>
    </w:p>
    <w:p w14:paraId="2A633EE2" w14:textId="77777777" w:rsidR="009B029A" w:rsidRPr="001034AD" w:rsidRDefault="009B029A" w:rsidP="009B029A">
      <w:pPr>
        <w:keepNext/>
        <w:spacing w:after="60"/>
        <w:rPr>
          <w:i/>
        </w:rPr>
      </w:pPr>
      <w:r w:rsidRPr="001034AD">
        <w:rPr>
          <w:i/>
        </w:rPr>
        <w:t>Recommendation</w:t>
      </w:r>
    </w:p>
    <w:p w14:paraId="6EB3CEEA" w14:textId="1462053B" w:rsidR="00BF057F" w:rsidRDefault="009B029A" w:rsidP="00BF057F">
      <w:pPr>
        <w:spacing w:line="240" w:lineRule="auto"/>
        <w:rPr>
          <w:i/>
        </w:rPr>
      </w:pPr>
      <w:r w:rsidRPr="00DB1247">
        <w:rPr>
          <w:i/>
        </w:rPr>
        <w:t xml:space="preserve">The Association </w:t>
      </w:r>
      <w:r>
        <w:rPr>
          <w:i/>
        </w:rPr>
        <w:t xml:space="preserve">strongly </w:t>
      </w:r>
      <w:r w:rsidRPr="00DB1247">
        <w:rPr>
          <w:i/>
        </w:rPr>
        <w:t>endorses</w:t>
      </w:r>
      <w:r w:rsidR="00B10BC4">
        <w:rPr>
          <w:i/>
        </w:rPr>
        <w:t xml:space="preserve"> </w:t>
      </w:r>
      <w:r w:rsidR="0040672A">
        <w:rPr>
          <w:i/>
        </w:rPr>
        <w:t xml:space="preserve">regular </w:t>
      </w:r>
      <w:r w:rsidR="0040672A" w:rsidRPr="00DB1247">
        <w:rPr>
          <w:i/>
        </w:rPr>
        <w:t>peer</w:t>
      </w:r>
      <w:r>
        <w:rPr>
          <w:i/>
        </w:rPr>
        <w:t xml:space="preserve"> review of practice </w:t>
      </w:r>
      <w:r w:rsidR="00C2793E" w:rsidRPr="008550CA">
        <w:rPr>
          <w:i/>
          <w:iCs/>
        </w:rPr>
        <w:t xml:space="preserve">as per ISO 151:89 </w:t>
      </w:r>
      <w:r>
        <w:rPr>
          <w:i/>
        </w:rPr>
        <w:t>and considers that this provides the best, and possibly only, robust method of demonstration of ongoing competenc</w:t>
      </w:r>
      <w:r w:rsidR="009E24A9">
        <w:rPr>
          <w:i/>
        </w:rPr>
        <w:t>y</w:t>
      </w:r>
      <w:r>
        <w:rPr>
          <w:i/>
        </w:rPr>
        <w:t>.</w:t>
      </w:r>
    </w:p>
    <w:p w14:paraId="357B6B55" w14:textId="2519ED5D" w:rsidR="0040672A" w:rsidRDefault="009F0268" w:rsidP="00BF057F">
      <w:pPr>
        <w:spacing w:line="240" w:lineRule="auto"/>
        <w:rPr>
          <w:i/>
        </w:rPr>
      </w:pPr>
      <w:r>
        <w:rPr>
          <w:i/>
        </w:rPr>
        <w:br/>
        <w:t xml:space="preserve">The Association recognises that due to the variety of </w:t>
      </w:r>
      <w:r w:rsidR="007F6A76">
        <w:rPr>
          <w:i/>
        </w:rPr>
        <w:t xml:space="preserve">department </w:t>
      </w:r>
      <w:r>
        <w:rPr>
          <w:i/>
        </w:rPr>
        <w:t>settings, no single model can be recommended.</w:t>
      </w:r>
    </w:p>
    <w:p w14:paraId="3C70376C" w14:textId="075F004F" w:rsidR="009B029A" w:rsidRPr="008550CA" w:rsidRDefault="009B029A" w:rsidP="00BF057F">
      <w:pPr>
        <w:spacing w:line="240" w:lineRule="auto"/>
        <w:rPr>
          <w:i/>
        </w:rPr>
      </w:pPr>
      <w:r>
        <w:rPr>
          <w:i/>
        </w:rPr>
        <w:br/>
        <w:t xml:space="preserve">The Association </w:t>
      </w:r>
      <w:r w:rsidR="009F0268">
        <w:rPr>
          <w:i/>
        </w:rPr>
        <w:t xml:space="preserve">also </w:t>
      </w:r>
      <w:r>
        <w:rPr>
          <w:i/>
        </w:rPr>
        <w:t xml:space="preserve">recognises that </w:t>
      </w:r>
      <w:r w:rsidR="009F0268">
        <w:rPr>
          <w:i/>
        </w:rPr>
        <w:t xml:space="preserve">in certain settings, usually </w:t>
      </w:r>
      <w:r w:rsidR="0040672A">
        <w:rPr>
          <w:i/>
        </w:rPr>
        <w:t>because of</w:t>
      </w:r>
      <w:r w:rsidR="009F0268">
        <w:rPr>
          <w:i/>
        </w:rPr>
        <w:t xml:space="preserve"> shortage of available consultants, peer review may be difficult to arrange in certain settings. The Department is expected to ensure that arrangements appropriate to the local situation are put into place and consultants are </w:t>
      </w:r>
      <w:r w:rsidR="009F0268">
        <w:rPr>
          <w:i/>
        </w:rPr>
        <w:lastRenderedPageBreak/>
        <w:t>supported to participate.</w:t>
      </w:r>
      <w:r w:rsidR="003A40C3">
        <w:rPr>
          <w:i/>
        </w:rPr>
        <w:t xml:space="preserve"> </w:t>
      </w:r>
      <w:r w:rsidR="003A40C3" w:rsidRPr="008550CA">
        <w:rPr>
          <w:i/>
        </w:rPr>
        <w:t xml:space="preserve">This may involve pairing with other </w:t>
      </w:r>
      <w:r w:rsidR="00E07973" w:rsidRPr="008550CA">
        <w:rPr>
          <w:i/>
        </w:rPr>
        <w:t xml:space="preserve">infection </w:t>
      </w:r>
      <w:r w:rsidR="003A40C3" w:rsidRPr="008550CA">
        <w:rPr>
          <w:i/>
        </w:rPr>
        <w:t>departments to enable adequate peer review.</w:t>
      </w:r>
    </w:p>
    <w:p w14:paraId="580E8C2C" w14:textId="41FCBEF5" w:rsidR="00E07973" w:rsidRPr="00CF3F27" w:rsidRDefault="00E07973" w:rsidP="009B029A">
      <w:pPr>
        <w:rPr>
          <w:i/>
        </w:rPr>
      </w:pPr>
      <w:r w:rsidRPr="008550CA">
        <w:rPr>
          <w:i/>
        </w:rPr>
        <w:t>The Association recommends a minimum of weekly peer review be undertaken, which may be in person, remotely or via a hybrid meeting.</w:t>
      </w:r>
      <w:r w:rsidR="00CF3F27" w:rsidRPr="008550CA">
        <w:rPr>
          <w:i/>
        </w:rPr>
        <w:t xml:space="preserve"> Consideration should be given to more frequent meetings where there are newly joined consultants or locums</w:t>
      </w:r>
      <w:r w:rsidRPr="008550CA">
        <w:rPr>
          <w:i/>
        </w:rPr>
        <w:t xml:space="preserve"> These must be in line with local and national governance processes. Cases reviewed must be kept anonymously </w:t>
      </w:r>
      <w:r w:rsidR="00CF3F27" w:rsidRPr="008550CA">
        <w:rPr>
          <w:i/>
        </w:rPr>
        <w:t xml:space="preserve">using </w:t>
      </w:r>
      <w:r w:rsidR="007D60FF">
        <w:rPr>
          <w:i/>
        </w:rPr>
        <w:t xml:space="preserve">encrypted </w:t>
      </w:r>
      <w:r w:rsidR="00CF3F27" w:rsidRPr="008550CA">
        <w:rPr>
          <w:i/>
        </w:rPr>
        <w:t>shared files, folders and/or drives, using date and attendance record</w:t>
      </w:r>
      <w:r w:rsidR="00CF3F27" w:rsidRPr="008550CA">
        <w:t xml:space="preserve"> </w:t>
      </w:r>
      <w:r w:rsidR="00CF3F27" w:rsidRPr="008550CA">
        <w:rPr>
          <w:i/>
          <w:iCs/>
        </w:rPr>
        <w:t>and any recommendations and actions on any potential causes for concern</w:t>
      </w:r>
      <w:r w:rsidR="00CF3F27" w:rsidRPr="008550CA">
        <w:rPr>
          <w:i/>
        </w:rPr>
        <w:t>. They must be made available to any internal or external assessment bodies with a legitimate justification to review the information if required.</w:t>
      </w:r>
    </w:p>
    <w:p w14:paraId="380B037A" w14:textId="3EDD4536" w:rsidR="009843C4" w:rsidRPr="008550CA" w:rsidRDefault="00FB2C95" w:rsidP="009B029A">
      <w:pPr>
        <w:keepNext/>
        <w:spacing w:before="240" w:after="120"/>
        <w:rPr>
          <w:b/>
          <w:bCs/>
        </w:rPr>
      </w:pPr>
      <w:r w:rsidRPr="008550CA">
        <w:rPr>
          <w:b/>
          <w:bCs/>
        </w:rPr>
        <w:t xml:space="preserve">Return to </w:t>
      </w:r>
      <w:r w:rsidR="00983295" w:rsidRPr="008550CA">
        <w:rPr>
          <w:b/>
          <w:bCs/>
        </w:rPr>
        <w:t>practice.</w:t>
      </w:r>
    </w:p>
    <w:p w14:paraId="7303A900" w14:textId="533F64B2" w:rsidR="00BF057F" w:rsidRDefault="00154CC7" w:rsidP="00EC6944">
      <w:pPr>
        <w:spacing w:after="120"/>
      </w:pPr>
      <w:r>
        <w:t xml:space="preserve">Medical consultants </w:t>
      </w:r>
      <w:r w:rsidR="00FB2C95">
        <w:t xml:space="preserve">who have been out of practice must follow current </w:t>
      </w:r>
      <w:r w:rsidR="003B4D04">
        <w:t>A</w:t>
      </w:r>
      <w:r w:rsidR="009F0268">
        <w:t xml:space="preserve">cademy of Medical Royal Colleges’ </w:t>
      </w:r>
      <w:r w:rsidR="00FB2C95">
        <w:t>guidance</w:t>
      </w:r>
      <w:r w:rsidR="009F0268">
        <w:t xml:space="preserve"> </w:t>
      </w:r>
      <w:hyperlink r:id="rId11" w:history="1">
        <w:r w:rsidR="000A16C0" w:rsidRPr="000A16C0">
          <w:rPr>
            <w:rStyle w:val="Hyperlink"/>
          </w:rPr>
          <w:t>Return_to_Practice_guidance_2017_Revison_0617.pdf</w:t>
        </w:r>
      </w:hyperlink>
      <w:r w:rsidR="009F0268">
        <w:t>)</w:t>
      </w:r>
      <w:r w:rsidR="00FB2C95">
        <w:t>.</w:t>
      </w:r>
    </w:p>
    <w:p w14:paraId="65452973" w14:textId="08A85134" w:rsidR="00154CC7" w:rsidRDefault="009F0268" w:rsidP="00EC6944">
      <w:pPr>
        <w:spacing w:after="120"/>
      </w:pPr>
      <w:r>
        <w:br/>
      </w:r>
      <w:r w:rsidR="003B4D04">
        <w:t xml:space="preserve">This recommends that </w:t>
      </w:r>
      <w:r>
        <w:t xml:space="preserve">a formal return to practice process is followed </w:t>
      </w:r>
      <w:r w:rsidR="003B4D04">
        <w:t>when the doctor has not been practicing for whatever reason for a period of three months, or a shorter period if practice is</w:t>
      </w:r>
      <w:r w:rsidR="00E1473C">
        <w:t xml:space="preserve"> </w:t>
      </w:r>
      <w:r w:rsidR="003B4D04">
        <w:t>infrequent.</w:t>
      </w:r>
      <w:r w:rsidR="00A85892">
        <w:t xml:space="preserve"> Return to work should be undertaken by a suitably qualified and experienced specialist in the field as recommended by AOMRC guidance. In difficult situations, </w:t>
      </w:r>
      <w:r w:rsidR="00DC02E2">
        <w:t>e.g.,</w:t>
      </w:r>
      <w:r w:rsidR="00A85892">
        <w:t xml:space="preserve"> employment of a locum consultant to a single-handed position, the employing authority may wish to request the assistance of an experienced colleague from another location.</w:t>
      </w:r>
      <w:r w:rsidR="00154CC7">
        <w:t xml:space="preserve"> </w:t>
      </w:r>
    </w:p>
    <w:p w14:paraId="6F7677AA" w14:textId="77777777" w:rsidR="009F0268" w:rsidRPr="001034AD" w:rsidRDefault="009F0268" w:rsidP="009F0268">
      <w:pPr>
        <w:keepNext/>
        <w:spacing w:after="60"/>
        <w:rPr>
          <w:i/>
        </w:rPr>
      </w:pPr>
      <w:r w:rsidRPr="001034AD">
        <w:rPr>
          <w:i/>
        </w:rPr>
        <w:t>Recommendation</w:t>
      </w:r>
    </w:p>
    <w:p w14:paraId="3C55CE73" w14:textId="45192F51" w:rsidR="00DC0E18" w:rsidRDefault="009F0268" w:rsidP="009F0268">
      <w:pPr>
        <w:rPr>
          <w:i/>
        </w:rPr>
      </w:pPr>
      <w:r w:rsidRPr="00DB1247">
        <w:rPr>
          <w:i/>
        </w:rPr>
        <w:t xml:space="preserve">The Association </w:t>
      </w:r>
      <w:r>
        <w:rPr>
          <w:i/>
        </w:rPr>
        <w:t xml:space="preserve">advises Departments that formal and robust arrangements are put into place when </w:t>
      </w:r>
      <w:r w:rsidRPr="00EE2634">
        <w:rPr>
          <w:i/>
        </w:rPr>
        <w:t>doctors</w:t>
      </w:r>
      <w:r w:rsidR="0093487D" w:rsidRPr="00EE2634">
        <w:rPr>
          <w:i/>
        </w:rPr>
        <w:t xml:space="preserve"> and clinicians</w:t>
      </w:r>
      <w:r w:rsidRPr="00EE2634">
        <w:rPr>
          <w:i/>
        </w:rPr>
        <w:t xml:space="preserve"> return</w:t>
      </w:r>
      <w:r>
        <w:rPr>
          <w:i/>
        </w:rPr>
        <w:t xml:space="preserve"> to practice after periods out of practice.</w:t>
      </w:r>
    </w:p>
    <w:p w14:paraId="6ECF8C41" w14:textId="77777777" w:rsidR="00650FF2" w:rsidRPr="008550CA" w:rsidRDefault="00826ECF" w:rsidP="0037762F">
      <w:pPr>
        <w:keepNext/>
        <w:spacing w:before="240" w:after="120"/>
        <w:rPr>
          <w:b/>
          <w:bCs/>
        </w:rPr>
      </w:pPr>
      <w:r w:rsidRPr="008550CA">
        <w:rPr>
          <w:b/>
          <w:bCs/>
        </w:rPr>
        <w:t>Doctors in training</w:t>
      </w:r>
    </w:p>
    <w:p w14:paraId="7D68AD78" w14:textId="4B7F9C6A" w:rsidR="00BF057F" w:rsidRDefault="0037762F" w:rsidP="009F0268">
      <w:r w:rsidRPr="00E8261C">
        <w:t xml:space="preserve">Doctors in training must </w:t>
      </w:r>
      <w:r w:rsidR="008550CA">
        <w:t>always have consultant oversight and supervision</w:t>
      </w:r>
      <w:r w:rsidRPr="00E8261C">
        <w:t xml:space="preserve">. The nature and extent of supervision will be commensurate with their training stage, knowledge, </w:t>
      </w:r>
      <w:r w:rsidR="00983295" w:rsidRPr="00E8261C">
        <w:t>skills,</w:t>
      </w:r>
      <w:r w:rsidRPr="00E8261C">
        <w:t xml:space="preserve"> and experience</w:t>
      </w:r>
      <w:r w:rsidR="00EB4388">
        <w:t xml:space="preserve"> to allow independent working as appropriate</w:t>
      </w:r>
      <w:r w:rsidRPr="00E8261C">
        <w:t>.</w:t>
      </w:r>
      <w:r w:rsidR="00BF057F">
        <w:t xml:space="preserve">  </w:t>
      </w:r>
    </w:p>
    <w:p w14:paraId="66094DE5" w14:textId="3DEC4DE7" w:rsidR="00BF057F" w:rsidRDefault="0037762F" w:rsidP="009F0268">
      <w:r w:rsidRPr="00E8261C">
        <w:br/>
      </w:r>
      <w:r w:rsidR="00826ECF" w:rsidRPr="00E8261C">
        <w:t>Doctors who are on training programmes, overseen by the local Deanery (or successor organisation) will need to be inducted into local processes and procedures (which is monitored by the Deanery). The training of the</w:t>
      </w:r>
      <w:r w:rsidRPr="00E8261C">
        <w:t>s</w:t>
      </w:r>
      <w:r w:rsidR="00826ECF" w:rsidRPr="00E8261C">
        <w:t>e doctors is reviewed annually through the ARCP process. There is no requirement for Laboratories to undertake further competenc</w:t>
      </w:r>
      <w:r w:rsidR="009E24A9">
        <w:t>y</w:t>
      </w:r>
      <w:r w:rsidR="00826ECF" w:rsidRPr="00E8261C">
        <w:t xml:space="preserve"> assessment, provided that the service duties expected of the trainee are commensurate with their experience and training stage.</w:t>
      </w:r>
    </w:p>
    <w:p w14:paraId="6225B7F5" w14:textId="05597CAF" w:rsidR="003563EA" w:rsidRPr="008550CA" w:rsidRDefault="0037762F" w:rsidP="009F0268">
      <w:pPr>
        <w:rPr>
          <w:b/>
          <w:bCs/>
        </w:rPr>
      </w:pPr>
      <w:r w:rsidRPr="00E8261C">
        <w:br/>
        <w:t xml:space="preserve">Laboratories will be required to demonstrate that the trainees </w:t>
      </w:r>
      <w:r w:rsidR="009E24A9">
        <w:t>have</w:t>
      </w:r>
      <w:r w:rsidRPr="00E8261C">
        <w:t xml:space="preserve"> competen</w:t>
      </w:r>
      <w:r w:rsidR="009E24A9">
        <w:t>cy</w:t>
      </w:r>
      <w:r w:rsidRPr="00E8261C">
        <w:t xml:space="preserve"> to undertake any laboratory-associated service duties expected of them</w:t>
      </w:r>
      <w:r w:rsidR="0009740D">
        <w:t>.</w:t>
      </w:r>
      <w:r w:rsidRPr="00E8261C">
        <w:t xml:space="preserve"> </w:t>
      </w:r>
    </w:p>
    <w:p w14:paraId="5C0F0C5E" w14:textId="1D418897" w:rsidR="003563EA" w:rsidRPr="008550CA" w:rsidRDefault="003563EA" w:rsidP="009F0268">
      <w:pPr>
        <w:rPr>
          <w:b/>
          <w:bCs/>
        </w:rPr>
      </w:pPr>
      <w:r w:rsidRPr="008550CA">
        <w:rPr>
          <w:b/>
          <w:bCs/>
        </w:rPr>
        <w:t>Clinical Scientists in Training</w:t>
      </w:r>
    </w:p>
    <w:p w14:paraId="07B3F16D" w14:textId="2DEBF26B" w:rsidR="003563EA" w:rsidRPr="00E8261C" w:rsidRDefault="003563EA" w:rsidP="009F0268">
      <w:r w:rsidRPr="00EE2634">
        <w:t>Training to become a consulta</w:t>
      </w:r>
      <w:r w:rsidR="0097589F" w:rsidRPr="00EE2634">
        <w:t xml:space="preserve">nt clinical </w:t>
      </w:r>
      <w:r w:rsidR="00EE2634" w:rsidRPr="00EE2634">
        <w:t>scientist can</w:t>
      </w:r>
      <w:r w:rsidRPr="00EE2634">
        <w:t xml:space="preserve"> occur via two routes: 1/training via the NHS scientist training programme (STP) or 2/ training as a biomedical scientist and then using existing knowledge and experience to gain either an IBMS certificate of attainment or a Certificate of Equivalence from the Academy of Healthcare Science. These routes should lead to registration as a </w:t>
      </w:r>
      <w:r w:rsidRPr="00EE2634">
        <w:lastRenderedPageBreak/>
        <w:t>clinical scientist with HPCP. To become a consultant clinical scientists must complete the Higher Specialist Scientist Training (HSST) programme. More detail about this training is available on the RCPath website. Training requirements for clinical scientists differ from those of doctors in training and supervisors must be trained to ensure they understand the different training needs.</w:t>
      </w:r>
    </w:p>
    <w:p w14:paraId="016EDD05" w14:textId="77777777" w:rsidR="0037762F" w:rsidRPr="001034AD" w:rsidRDefault="0037762F" w:rsidP="0037762F">
      <w:pPr>
        <w:keepNext/>
        <w:spacing w:after="60"/>
        <w:rPr>
          <w:i/>
        </w:rPr>
      </w:pPr>
      <w:r w:rsidRPr="001034AD">
        <w:rPr>
          <w:i/>
        </w:rPr>
        <w:t>Recommendation</w:t>
      </w:r>
    </w:p>
    <w:p w14:paraId="1521B853" w14:textId="73C2F7A4" w:rsidR="00826ECF" w:rsidRDefault="0037762F" w:rsidP="009F0268">
      <w:pPr>
        <w:rPr>
          <w:i/>
        </w:rPr>
      </w:pPr>
      <w:r>
        <w:rPr>
          <w:i/>
        </w:rPr>
        <w:t>The training progress of doctors in Deanery managed training programmes are monitored by the Deanery. Further evidence of assessment of competenc</w:t>
      </w:r>
      <w:r w:rsidR="009E24A9">
        <w:rPr>
          <w:i/>
        </w:rPr>
        <w:t>y</w:t>
      </w:r>
      <w:r>
        <w:rPr>
          <w:i/>
        </w:rPr>
        <w:t xml:space="preserve"> should not normally be required.</w:t>
      </w:r>
      <w:r>
        <w:rPr>
          <w:i/>
        </w:rPr>
        <w:br/>
        <w:t xml:space="preserve">However, the Laboratory must ensure that the trainee </w:t>
      </w:r>
      <w:r w:rsidR="00EE2634">
        <w:rPr>
          <w:i/>
        </w:rPr>
        <w:t xml:space="preserve">doctors </w:t>
      </w:r>
      <w:r w:rsidR="00EE2634" w:rsidRPr="00EE2634">
        <w:rPr>
          <w:i/>
        </w:rPr>
        <w:t>and</w:t>
      </w:r>
      <w:r w:rsidR="009014C6" w:rsidRPr="00EE2634">
        <w:rPr>
          <w:i/>
        </w:rPr>
        <w:t xml:space="preserve"> clinical scientists in training</w:t>
      </w:r>
      <w:r w:rsidR="009014C6">
        <w:rPr>
          <w:i/>
        </w:rPr>
        <w:t xml:space="preserve"> </w:t>
      </w:r>
      <w:r>
        <w:rPr>
          <w:i/>
        </w:rPr>
        <w:t xml:space="preserve">have been shown to </w:t>
      </w:r>
      <w:r w:rsidR="009E24A9">
        <w:rPr>
          <w:i/>
        </w:rPr>
        <w:t>have</w:t>
      </w:r>
      <w:r>
        <w:rPr>
          <w:i/>
        </w:rPr>
        <w:t xml:space="preserve"> competen</w:t>
      </w:r>
      <w:r w:rsidR="009E24A9">
        <w:rPr>
          <w:i/>
        </w:rPr>
        <w:t>cy</w:t>
      </w:r>
      <w:r>
        <w:rPr>
          <w:i/>
        </w:rPr>
        <w:t xml:space="preserve"> to undertake service duties expected of them </w:t>
      </w:r>
      <w:r w:rsidR="00E8261C">
        <w:rPr>
          <w:i/>
        </w:rPr>
        <w:t>if these are not supervised directly.</w:t>
      </w:r>
      <w:r w:rsidR="00154CC7">
        <w:rPr>
          <w:i/>
        </w:rPr>
        <w:t xml:space="preserve"> </w:t>
      </w:r>
      <w:r w:rsidR="00BF057F">
        <w:rPr>
          <w:i/>
        </w:rPr>
        <w:t>Supervisors of trainees of any designation must ensure that they have received the relevant training and are deemed</w:t>
      </w:r>
      <w:r w:rsidR="00747CE7">
        <w:rPr>
          <w:i/>
        </w:rPr>
        <w:t xml:space="preserve"> to have</w:t>
      </w:r>
      <w:r w:rsidR="00BF057F">
        <w:rPr>
          <w:i/>
        </w:rPr>
        <w:t xml:space="preserve"> competen</w:t>
      </w:r>
      <w:r w:rsidR="00747CE7">
        <w:rPr>
          <w:i/>
        </w:rPr>
        <w:t>cy</w:t>
      </w:r>
      <w:r w:rsidR="00BF057F">
        <w:rPr>
          <w:i/>
        </w:rPr>
        <w:t xml:space="preserve"> to supervise.</w:t>
      </w:r>
    </w:p>
    <w:p w14:paraId="49A901C6" w14:textId="1BBA053E" w:rsidR="00826ECF" w:rsidRPr="0037762F" w:rsidRDefault="00826ECF" w:rsidP="0037762F">
      <w:pPr>
        <w:keepNext/>
        <w:spacing w:before="240" w:after="120"/>
      </w:pPr>
      <w:r w:rsidRPr="008550CA">
        <w:rPr>
          <w:b/>
          <w:bCs/>
        </w:rPr>
        <w:t>Doctors</w:t>
      </w:r>
      <w:r w:rsidR="0037762F" w:rsidRPr="008550CA">
        <w:rPr>
          <w:b/>
          <w:bCs/>
        </w:rPr>
        <w:t xml:space="preserve"> not in formal training programmes</w:t>
      </w:r>
      <w:r w:rsidRPr="008550CA">
        <w:rPr>
          <w:b/>
          <w:bCs/>
        </w:rPr>
        <w:t xml:space="preserve"> who do not hold a consultant </w:t>
      </w:r>
      <w:r w:rsidR="00983295" w:rsidRPr="008550CA">
        <w:rPr>
          <w:b/>
          <w:bCs/>
        </w:rPr>
        <w:t>position</w:t>
      </w:r>
      <w:r w:rsidR="00983295" w:rsidRPr="0037762F">
        <w:t>.</w:t>
      </w:r>
    </w:p>
    <w:p w14:paraId="4E3BABA1" w14:textId="77777777" w:rsidR="009E24A9" w:rsidRDefault="00826ECF" w:rsidP="008550CA">
      <w:r w:rsidRPr="00E8261C">
        <w:t>Some departments m</w:t>
      </w:r>
      <w:r w:rsidR="00E8261C">
        <w:t>ay employ a variety of doctors o</w:t>
      </w:r>
      <w:r w:rsidRPr="00E8261C">
        <w:t xml:space="preserve">f varying grades, some in substantive positions such as </w:t>
      </w:r>
      <w:r w:rsidR="008550CA">
        <w:t>a</w:t>
      </w:r>
      <w:r w:rsidRPr="00E8261C">
        <w:t xml:space="preserve">ssociate </w:t>
      </w:r>
      <w:r w:rsidR="008550CA">
        <w:t>s</w:t>
      </w:r>
      <w:r w:rsidRPr="00E8261C">
        <w:t xml:space="preserve">pecialist or </w:t>
      </w:r>
      <w:r w:rsidR="008550CA">
        <w:t>s</w:t>
      </w:r>
      <w:r w:rsidR="001C5A04">
        <w:t>pecialty</w:t>
      </w:r>
      <w:r w:rsidR="008550CA">
        <w:t>/specialist</w:t>
      </w:r>
      <w:r w:rsidR="001C5A04">
        <w:t xml:space="preserve"> </w:t>
      </w:r>
      <w:r w:rsidR="008550CA">
        <w:t>d</w:t>
      </w:r>
      <w:r w:rsidR="001C5A04">
        <w:t>octor</w:t>
      </w:r>
      <w:r w:rsidRPr="00E8261C">
        <w:t>, others in temporary junior positions such as Trust Doctors or Trust Fellows.</w:t>
      </w:r>
    </w:p>
    <w:p w14:paraId="5D361412" w14:textId="77777777" w:rsidR="009E24A9" w:rsidRDefault="00826ECF" w:rsidP="008550CA">
      <w:r w:rsidRPr="00E8261C">
        <w:br/>
        <w:t xml:space="preserve">The Laboratory will need to provide evidence that each doctor </w:t>
      </w:r>
      <w:r w:rsidR="009E24A9">
        <w:t>has</w:t>
      </w:r>
      <w:r w:rsidRPr="00E8261C">
        <w:t xml:space="preserve"> competen</w:t>
      </w:r>
      <w:r w:rsidR="009E24A9">
        <w:t>cy</w:t>
      </w:r>
      <w:r w:rsidRPr="00E8261C">
        <w:t xml:space="preserve"> to deliver the service expected of him or her and have recorded the outcome accordingly.</w:t>
      </w:r>
    </w:p>
    <w:p w14:paraId="7C24CC5B" w14:textId="5BA4D2C1" w:rsidR="008550CA" w:rsidRDefault="00826ECF" w:rsidP="008550CA">
      <w:pPr>
        <w:rPr>
          <w:b/>
          <w:bCs/>
        </w:rPr>
      </w:pPr>
      <w:r w:rsidRPr="00E8261C">
        <w:br/>
        <w:t>A variation on the process recommended for consultants can be followed.</w:t>
      </w:r>
    </w:p>
    <w:p w14:paraId="23AE226E" w14:textId="3870B429" w:rsidR="00D673D9" w:rsidRPr="008550CA" w:rsidRDefault="00D673D9" w:rsidP="009C782F">
      <w:pPr>
        <w:keepNext/>
        <w:spacing w:before="240" w:after="120"/>
        <w:rPr>
          <w:b/>
          <w:bCs/>
        </w:rPr>
      </w:pPr>
      <w:r w:rsidRPr="008550CA">
        <w:rPr>
          <w:b/>
          <w:bCs/>
        </w:rPr>
        <w:t>Implications of requirement to demonstrate competenc</w:t>
      </w:r>
      <w:r w:rsidR="009E24A9">
        <w:rPr>
          <w:b/>
          <w:bCs/>
        </w:rPr>
        <w:t>y</w:t>
      </w:r>
      <w:r w:rsidRPr="008550CA">
        <w:rPr>
          <w:b/>
          <w:bCs/>
        </w:rPr>
        <w:t xml:space="preserve"> in off-site or networked laboratory </w:t>
      </w:r>
      <w:r w:rsidR="00983295" w:rsidRPr="008550CA">
        <w:rPr>
          <w:b/>
          <w:bCs/>
        </w:rPr>
        <w:t>settings.</w:t>
      </w:r>
    </w:p>
    <w:p w14:paraId="20A870B7" w14:textId="77777777" w:rsidR="008550CA" w:rsidRDefault="00D673D9" w:rsidP="009F0268">
      <w:r>
        <w:t xml:space="preserve"> Some hospitals do not have on-site laboratories managed within the organisation</w:t>
      </w:r>
      <w:r w:rsidR="007F31EE">
        <w:t>s</w:t>
      </w:r>
      <w:r>
        <w:t xml:space="preserve">’ governance systems. </w:t>
      </w:r>
      <w:r w:rsidR="007F31EE">
        <w:t xml:space="preserve">Examples of such organisations include certain laboratory networks across separate NHS </w:t>
      </w:r>
    </w:p>
    <w:p w14:paraId="6A6BACCD" w14:textId="4B3AF770" w:rsidR="00D673D9" w:rsidRDefault="007F31EE" w:rsidP="009F0268">
      <w:r>
        <w:t xml:space="preserve">Trusts and many hospitals in the independent sector. </w:t>
      </w:r>
      <w:r w:rsidR="00670A6D">
        <w:t xml:space="preserve">All hospitals that provide secondary care </w:t>
      </w:r>
      <w:r w:rsidR="00AC0042">
        <w:t xml:space="preserve">are </w:t>
      </w:r>
      <w:r w:rsidR="0009740D">
        <w:t>expected</w:t>
      </w:r>
      <w:r w:rsidR="00AC0042">
        <w:t xml:space="preserve"> to ensure access to advice from suitably qualified individuals; ISO15189 requires laboratories to ensure that arrangements are in place for the laboratory </w:t>
      </w:r>
      <w:r w:rsidR="003E0FFF">
        <w:t xml:space="preserve">director, or nominee, </w:t>
      </w:r>
      <w:r w:rsidR="00AC0042">
        <w:t xml:space="preserve">to be integrated into the hospital’s clinical structures. Consequently, the laboratory must ensure that </w:t>
      </w:r>
      <w:r w:rsidR="00D673D9">
        <w:t xml:space="preserve">formal arrangements are in place to </w:t>
      </w:r>
      <w:r w:rsidR="003E0FFF">
        <w:t>provide assurance of the competenc</w:t>
      </w:r>
      <w:r w:rsidR="009E24A9">
        <w:t>y</w:t>
      </w:r>
      <w:r w:rsidR="003E0FFF">
        <w:t xml:space="preserve"> of those consultants who provide the clinical microbiology / virology advisory service, who will often be consultants not directly employed or appointed by the of</w:t>
      </w:r>
      <w:r w:rsidR="00453CEC">
        <w:t>f</w:t>
      </w:r>
      <w:r w:rsidR="003E0FFF">
        <w:t>-site laboratory.</w:t>
      </w:r>
      <w:r w:rsidR="00D673D9">
        <w:t xml:space="preserve"> </w:t>
      </w:r>
    </w:p>
    <w:p w14:paraId="3FD12251" w14:textId="77777777" w:rsidR="007F31EE" w:rsidRPr="009C782F" w:rsidRDefault="007F31EE" w:rsidP="009C782F">
      <w:pPr>
        <w:keepNext/>
        <w:spacing w:after="60"/>
        <w:rPr>
          <w:i/>
        </w:rPr>
      </w:pPr>
      <w:r w:rsidRPr="009C782F">
        <w:rPr>
          <w:i/>
        </w:rPr>
        <w:t>Recommendation</w:t>
      </w:r>
    </w:p>
    <w:p w14:paraId="551E6234" w14:textId="3EF0C632" w:rsidR="007F31EE" w:rsidRPr="009C782F" w:rsidRDefault="007F31EE" w:rsidP="009F0268">
      <w:pPr>
        <w:rPr>
          <w:i/>
        </w:rPr>
      </w:pPr>
      <w:r w:rsidRPr="009C782F">
        <w:rPr>
          <w:i/>
        </w:rPr>
        <w:t xml:space="preserve">Laboratories must ensure that </w:t>
      </w:r>
      <w:r w:rsidR="008868C8" w:rsidRPr="009C782F">
        <w:rPr>
          <w:i/>
        </w:rPr>
        <w:t>arrangements are in place to assess the competenc</w:t>
      </w:r>
      <w:r w:rsidR="009E24A9">
        <w:rPr>
          <w:i/>
        </w:rPr>
        <w:t>y</w:t>
      </w:r>
      <w:r w:rsidR="008868C8" w:rsidRPr="009C782F">
        <w:rPr>
          <w:i/>
        </w:rPr>
        <w:t xml:space="preserve"> of </w:t>
      </w:r>
      <w:r w:rsidRPr="009C782F">
        <w:rPr>
          <w:i/>
        </w:rPr>
        <w:t xml:space="preserve">all consultants who </w:t>
      </w:r>
      <w:r w:rsidR="008868C8" w:rsidRPr="009C782F">
        <w:rPr>
          <w:i/>
        </w:rPr>
        <w:t>advise on the clinical significance of the laboratory’s results.</w:t>
      </w:r>
    </w:p>
    <w:p w14:paraId="09AA4A7F" w14:textId="77777777" w:rsidR="00826ECF" w:rsidRDefault="00826ECF" w:rsidP="009F0268">
      <w:pPr>
        <w:rPr>
          <w:i/>
        </w:rPr>
      </w:pPr>
    </w:p>
    <w:p w14:paraId="38FFC092" w14:textId="57704A17" w:rsidR="00BF057F" w:rsidRDefault="00B10BC4" w:rsidP="009F0268">
      <w:pPr>
        <w:rPr>
          <w:i/>
        </w:rPr>
      </w:pPr>
      <w:r>
        <w:rPr>
          <w:i/>
        </w:rPr>
        <w:t>Natasha Ratnaraja, Microbiologist. On behalf of Clinical Services Committee, British Infection Association</w:t>
      </w:r>
    </w:p>
    <w:p w14:paraId="3283CD89" w14:textId="5E0B5C5C" w:rsidR="00650FF2" w:rsidRDefault="00650FF2" w:rsidP="009F0268">
      <w:pPr>
        <w:rPr>
          <w:i/>
        </w:rPr>
      </w:pPr>
      <w:r>
        <w:rPr>
          <w:i/>
        </w:rPr>
        <w:t>Albert J Mifsud</w:t>
      </w:r>
      <w:r w:rsidRPr="00D846E1">
        <w:rPr>
          <w:i/>
        </w:rPr>
        <w:t xml:space="preserve">, </w:t>
      </w:r>
      <w:r w:rsidR="00D846E1" w:rsidRPr="00D846E1">
        <w:rPr>
          <w:i/>
        </w:rPr>
        <w:t>Microbiologist</w:t>
      </w:r>
    </w:p>
    <w:p w14:paraId="1F928026" w14:textId="3474910C" w:rsidR="00BF057F" w:rsidRDefault="00BF057F" w:rsidP="009F0268">
      <w:pPr>
        <w:rPr>
          <w:i/>
        </w:rPr>
      </w:pPr>
      <w:r>
        <w:rPr>
          <w:i/>
        </w:rPr>
        <w:lastRenderedPageBreak/>
        <w:t>Clinical Services Committee, British Infection Association</w:t>
      </w:r>
    </w:p>
    <w:p w14:paraId="5ADA6470" w14:textId="7F3BE017" w:rsidR="00650FF2" w:rsidRDefault="00BF057F" w:rsidP="009F0268">
      <w:pPr>
        <w:rPr>
          <w:i/>
        </w:rPr>
      </w:pPr>
      <w:r>
        <w:rPr>
          <w:i/>
        </w:rPr>
        <w:t>October</w:t>
      </w:r>
      <w:r w:rsidR="008550CA">
        <w:rPr>
          <w:i/>
        </w:rPr>
        <w:t xml:space="preserve"> </w:t>
      </w:r>
      <w:r w:rsidR="001C5A04">
        <w:rPr>
          <w:i/>
        </w:rPr>
        <w:t>202</w:t>
      </w:r>
      <w:r>
        <w:rPr>
          <w:i/>
        </w:rPr>
        <w:t>5</w:t>
      </w:r>
    </w:p>
    <w:p w14:paraId="074BF0C3" w14:textId="3953C723" w:rsidR="007C05E1" w:rsidRDefault="007C05E1" w:rsidP="009F0268">
      <w:pPr>
        <w:rPr>
          <w:i/>
        </w:rPr>
      </w:pPr>
    </w:p>
    <w:p w14:paraId="08F90D5A" w14:textId="61275154" w:rsidR="00650FF2" w:rsidRDefault="00650FF2" w:rsidP="00650FF2">
      <w:pPr>
        <w:pageBreakBefore/>
        <w:spacing w:after="120"/>
      </w:pPr>
      <w:r>
        <w:lastRenderedPageBreak/>
        <w:t xml:space="preserve">Appendix </w:t>
      </w:r>
      <w:r w:rsidR="008550CA">
        <w:t>1</w:t>
      </w:r>
    </w:p>
    <w:p w14:paraId="721AA2D4" w14:textId="7E4A0BC1" w:rsidR="00095C79" w:rsidRDefault="00650FF2" w:rsidP="00650FF2">
      <w:pPr>
        <w:jc w:val="center"/>
      </w:pPr>
      <w:bookmarkStart w:id="2" w:name="_Hlk136600680"/>
      <w:r>
        <w:t>E</w:t>
      </w:r>
      <w:r w:rsidR="00A32A76">
        <w:t xml:space="preserve">xample of </w:t>
      </w:r>
      <w:r w:rsidR="00095C79">
        <w:t xml:space="preserve">the </w:t>
      </w:r>
      <w:r w:rsidR="008469DC">
        <w:t xml:space="preserve">Record of </w:t>
      </w:r>
      <w:r w:rsidR="005611C2" w:rsidRPr="008469DC">
        <w:t>Outcome of Consultant/Specialty</w:t>
      </w:r>
      <w:r w:rsidR="008550CA">
        <w:t>/Specialist</w:t>
      </w:r>
      <w:r w:rsidR="005611C2" w:rsidRPr="008469DC">
        <w:t xml:space="preserve"> Doctor Competenc</w:t>
      </w:r>
      <w:r w:rsidR="009E24A9">
        <w:t>y</w:t>
      </w:r>
      <w:r w:rsidR="005611C2" w:rsidRPr="008469DC">
        <w:t xml:space="preserve"> assessment </w:t>
      </w:r>
      <w:r w:rsidR="008469DC" w:rsidRPr="008469DC">
        <w:t xml:space="preserve">document </w:t>
      </w:r>
      <w:bookmarkEnd w:id="2"/>
      <w:r w:rsidR="008469DC">
        <w:t>(</w:t>
      </w:r>
      <w:r w:rsidR="0093487D">
        <w:t>The</w:t>
      </w:r>
      <w:r w:rsidR="00095C79">
        <w:t xml:space="preserve"> outcome of the assessment framework will need to be amended to suit local circumstances)</w:t>
      </w:r>
    </w:p>
    <w:p w14:paraId="02E5957B" w14:textId="71C3CDD4" w:rsidR="002E26D9" w:rsidRPr="00D34F93" w:rsidRDefault="00D34F93" w:rsidP="00A32A76">
      <w:pPr>
        <w:tabs>
          <w:tab w:val="right" w:pos="9072"/>
        </w:tabs>
        <w:rPr>
          <w:i/>
        </w:rPr>
      </w:pPr>
      <w:r w:rsidRPr="00D34F93">
        <w:rPr>
          <w:i/>
        </w:rPr>
        <w:t xml:space="preserve">The following section should be completed once, at </w:t>
      </w:r>
      <w:r w:rsidR="008469DC" w:rsidRPr="00D34F93">
        <w:rPr>
          <w:i/>
        </w:rPr>
        <w:t>appointment.</w:t>
      </w:r>
    </w:p>
    <w:p w14:paraId="3CA449E7" w14:textId="58A4CEB8" w:rsidR="00A32A76" w:rsidRDefault="00A32A76" w:rsidP="00BF057F">
      <w:pPr>
        <w:pStyle w:val="ListParagraph"/>
        <w:numPr>
          <w:ilvl w:val="0"/>
          <w:numId w:val="7"/>
        </w:numPr>
        <w:tabs>
          <w:tab w:val="right" w:pos="9072"/>
        </w:tabs>
      </w:pPr>
      <w:r w:rsidRPr="00EE2634">
        <w:t xml:space="preserve">On </w:t>
      </w:r>
      <w:r w:rsidR="008501C2" w:rsidRPr="00EE2634">
        <w:t>GMC/HCPC</w:t>
      </w:r>
      <w:r w:rsidR="008501C2">
        <w:t xml:space="preserve"> </w:t>
      </w:r>
      <w:r>
        <w:t>specialist register in MMV, MM</w:t>
      </w:r>
      <w:r w:rsidR="00B10BC4">
        <w:t xml:space="preserve">, </w:t>
      </w:r>
      <w:r>
        <w:t>MV</w:t>
      </w:r>
      <w:r w:rsidR="00B10BC4">
        <w:t xml:space="preserve"> or other, </w:t>
      </w:r>
      <w:r>
        <w:t>consistent with scope of practice</w:t>
      </w:r>
      <w:r>
        <w:tab/>
        <w:t>Y/N</w:t>
      </w:r>
    </w:p>
    <w:p w14:paraId="05B401EF" w14:textId="5E4A1F91" w:rsidR="00A32A76" w:rsidRDefault="00A32A76" w:rsidP="00FD04FA">
      <w:pPr>
        <w:tabs>
          <w:tab w:val="right" w:pos="9072"/>
        </w:tabs>
        <w:ind w:left="426"/>
      </w:pPr>
      <w:r>
        <w:t>If N</w:t>
      </w:r>
      <w:r w:rsidR="00D34F93">
        <w:t>, describe how the doctor has demonstrated competenc</w:t>
      </w:r>
      <w:r w:rsidR="009E24A9">
        <w:t>y</w:t>
      </w:r>
      <w:r w:rsidR="00D34F93">
        <w:t xml:space="preserve"> equivalent to that required for award of CCT in the specialty</w:t>
      </w:r>
      <w:r w:rsidR="00095C79">
        <w:t xml:space="preserve"> (for consultants only)</w:t>
      </w:r>
      <w:r>
        <w:t>:</w:t>
      </w:r>
    </w:p>
    <w:p w14:paraId="65BADE3A" w14:textId="77777777" w:rsidR="00D34F93" w:rsidRDefault="00D34F93" w:rsidP="00FD04FA">
      <w:pPr>
        <w:pBdr>
          <w:top w:val="single" w:sz="4" w:space="1" w:color="auto"/>
          <w:left w:val="single" w:sz="4" w:space="4" w:color="auto"/>
          <w:bottom w:val="single" w:sz="4" w:space="1" w:color="auto"/>
          <w:right w:val="single" w:sz="4" w:space="4" w:color="auto"/>
        </w:pBdr>
        <w:tabs>
          <w:tab w:val="right" w:pos="9072"/>
        </w:tabs>
        <w:ind w:left="426"/>
      </w:pPr>
    </w:p>
    <w:p w14:paraId="4CEC3DF2" w14:textId="77777777" w:rsidR="00FD04FA" w:rsidRDefault="00FD04FA" w:rsidP="00FD04FA">
      <w:pPr>
        <w:pBdr>
          <w:top w:val="single" w:sz="4" w:space="1" w:color="auto"/>
          <w:left w:val="single" w:sz="4" w:space="4" w:color="auto"/>
          <w:bottom w:val="single" w:sz="4" w:space="1" w:color="auto"/>
          <w:right w:val="single" w:sz="4" w:space="4" w:color="auto"/>
        </w:pBdr>
        <w:tabs>
          <w:tab w:val="right" w:pos="9072"/>
        </w:tabs>
        <w:ind w:left="426"/>
      </w:pPr>
    </w:p>
    <w:p w14:paraId="1E1155D1" w14:textId="6EB88EAA" w:rsidR="00A32A76" w:rsidRDefault="00A32A76" w:rsidP="00BF057F">
      <w:pPr>
        <w:pStyle w:val="ListParagraph"/>
        <w:numPr>
          <w:ilvl w:val="0"/>
          <w:numId w:val="7"/>
        </w:numPr>
        <w:tabs>
          <w:tab w:val="right" w:pos="9072"/>
        </w:tabs>
      </w:pPr>
      <w:r>
        <w:t xml:space="preserve">Appointed at a properly constituted appointments committee within the hospital where the consultant practices for the bulk </w:t>
      </w:r>
      <w:r w:rsidRPr="00EE2634">
        <w:t xml:space="preserve">of </w:t>
      </w:r>
      <w:r w:rsidR="008501C2" w:rsidRPr="00EE2634">
        <w:t>their</w:t>
      </w:r>
      <w:r>
        <w:t xml:space="preserve"> practice</w:t>
      </w:r>
      <w:r>
        <w:tab/>
        <w:t>Y/N</w:t>
      </w:r>
    </w:p>
    <w:p w14:paraId="1A15F1CB" w14:textId="77777777" w:rsidR="00E6282A" w:rsidRDefault="00E6282A" w:rsidP="00EC6944">
      <w:pPr>
        <w:tabs>
          <w:tab w:val="right" w:pos="9072"/>
        </w:tabs>
        <w:ind w:left="426"/>
      </w:pPr>
      <w:r>
        <w:t>If N: Describe how the appointment was made</w:t>
      </w:r>
      <w:r w:rsidR="00FD04FA">
        <w:t>:</w:t>
      </w:r>
    </w:p>
    <w:p w14:paraId="56E9BB6E" w14:textId="77777777" w:rsidR="00FD04FA" w:rsidRDefault="00FD04FA" w:rsidP="00FD04FA">
      <w:pPr>
        <w:pBdr>
          <w:top w:val="single" w:sz="4" w:space="1" w:color="auto"/>
          <w:left w:val="single" w:sz="4" w:space="4" w:color="auto"/>
          <w:bottom w:val="single" w:sz="4" w:space="1" w:color="auto"/>
          <w:right w:val="single" w:sz="4" w:space="4" w:color="auto"/>
        </w:pBdr>
        <w:tabs>
          <w:tab w:val="right" w:pos="9072"/>
        </w:tabs>
        <w:ind w:left="426"/>
      </w:pPr>
    </w:p>
    <w:p w14:paraId="5FC85E20" w14:textId="77777777" w:rsidR="00FD04FA" w:rsidRDefault="00FD04FA" w:rsidP="00FD04FA">
      <w:pPr>
        <w:pBdr>
          <w:top w:val="single" w:sz="4" w:space="1" w:color="auto"/>
          <w:left w:val="single" w:sz="4" w:space="4" w:color="auto"/>
          <w:bottom w:val="single" w:sz="4" w:space="1" w:color="auto"/>
          <w:right w:val="single" w:sz="4" w:space="4" w:color="auto"/>
        </w:pBdr>
        <w:tabs>
          <w:tab w:val="right" w:pos="9072"/>
        </w:tabs>
        <w:ind w:left="426"/>
      </w:pPr>
    </w:p>
    <w:p w14:paraId="24CFD26F" w14:textId="39B45E24" w:rsidR="00FD04FA" w:rsidRPr="00FD04FA" w:rsidRDefault="00FD04FA" w:rsidP="00A32A76">
      <w:pPr>
        <w:tabs>
          <w:tab w:val="right" w:pos="9072"/>
        </w:tabs>
        <w:rPr>
          <w:i/>
        </w:rPr>
      </w:pPr>
      <w:r w:rsidRPr="00FD04FA">
        <w:rPr>
          <w:i/>
        </w:rPr>
        <w:t xml:space="preserve">The following section should be </w:t>
      </w:r>
      <w:r w:rsidR="002D72EC">
        <w:rPr>
          <w:i/>
        </w:rPr>
        <w:t>updated</w:t>
      </w:r>
      <w:r w:rsidRPr="00FD04FA">
        <w:rPr>
          <w:i/>
        </w:rPr>
        <w:t xml:space="preserve"> </w:t>
      </w:r>
      <w:r w:rsidR="008469DC" w:rsidRPr="00FD04FA">
        <w:rPr>
          <w:i/>
        </w:rPr>
        <w:t>annually.</w:t>
      </w:r>
    </w:p>
    <w:p w14:paraId="53C8B9E0" w14:textId="77777777" w:rsidR="00E6282A" w:rsidRDefault="00E6282A" w:rsidP="00BF057F">
      <w:pPr>
        <w:pStyle w:val="ListParagraph"/>
        <w:numPr>
          <w:ilvl w:val="0"/>
          <w:numId w:val="7"/>
        </w:numPr>
        <w:tabs>
          <w:tab w:val="right" w:pos="9072"/>
        </w:tabs>
      </w:pPr>
      <w:r>
        <w:t xml:space="preserve">Has an appraisal been undertaken within the last 12 months (up to </w:t>
      </w:r>
      <w:r w:rsidR="00CF7F2E">
        <w:t xml:space="preserve">3mo flexibility) within the hospital </w:t>
      </w:r>
      <w:r w:rsidR="002D72EC">
        <w:t xml:space="preserve">(or </w:t>
      </w:r>
      <w:r w:rsidR="00CF7F2E">
        <w:t>Trust</w:t>
      </w:r>
      <w:r w:rsidR="002D72EC">
        <w:t>)</w:t>
      </w:r>
      <w:r w:rsidR="00CF7F2E">
        <w:t xml:space="preserve"> served by the laboratory or organisation that runs the laboratory</w:t>
      </w:r>
      <w:r w:rsidR="00CF7F2E">
        <w:tab/>
        <w:t>Y/N</w:t>
      </w:r>
    </w:p>
    <w:p w14:paraId="568FA023" w14:textId="77777777" w:rsidR="000D591C" w:rsidRDefault="000D591C" w:rsidP="00EC6944">
      <w:pPr>
        <w:tabs>
          <w:tab w:val="right" w:pos="9072"/>
        </w:tabs>
        <w:ind w:left="426"/>
      </w:pPr>
      <w:r>
        <w:t>Document date of last appraisal</w:t>
      </w:r>
    </w:p>
    <w:p w14:paraId="5EFF4FC8"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03A4892C"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5A2F0478" w14:textId="77777777" w:rsidR="00CF7F2E" w:rsidRDefault="00CF7F2E" w:rsidP="00EC6944">
      <w:pPr>
        <w:tabs>
          <w:tab w:val="right" w:pos="9072"/>
        </w:tabs>
        <w:ind w:left="426"/>
      </w:pPr>
      <w:r>
        <w:t xml:space="preserve">If N: Describe how the Laboratory is assured of the [quality] of the </w:t>
      </w:r>
      <w:r w:rsidR="0043347B">
        <w:t>appraisal undertaken externally.</w:t>
      </w:r>
    </w:p>
    <w:p w14:paraId="58CB653B"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0DF76905"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67849D76" w14:textId="2A20F5A1" w:rsidR="005B46A9" w:rsidRDefault="005B46A9" w:rsidP="00BF057F">
      <w:pPr>
        <w:pStyle w:val="ListParagraph"/>
        <w:numPr>
          <w:ilvl w:val="0"/>
          <w:numId w:val="7"/>
        </w:numPr>
        <w:tabs>
          <w:tab w:val="right" w:pos="9072"/>
        </w:tabs>
      </w:pPr>
      <w:r>
        <w:t>Has the consultant’s</w:t>
      </w:r>
      <w:r w:rsidR="008501C2" w:rsidRPr="00EE2634">
        <w:t>/</w:t>
      </w:r>
      <w:r w:rsidR="00EE2634" w:rsidRPr="00EE2634">
        <w:t xml:space="preserve"> </w:t>
      </w:r>
      <w:r w:rsidR="00DC02E2">
        <w:t>s</w:t>
      </w:r>
      <w:r w:rsidR="00EE2634" w:rsidRPr="00EE2634">
        <w:t>pecialty</w:t>
      </w:r>
      <w:r w:rsidR="00DC02E2">
        <w:t>/specialist</w:t>
      </w:r>
      <w:r w:rsidR="00EE2634" w:rsidRPr="00EE2634">
        <w:t xml:space="preserve"> </w:t>
      </w:r>
      <w:r w:rsidR="00DC02E2">
        <w:t>d</w:t>
      </w:r>
      <w:r w:rsidR="008501C2" w:rsidRPr="00EE2634">
        <w:t>octor’s</w:t>
      </w:r>
      <w:r>
        <w:t xml:space="preserve"> CPD been reviewed?</w:t>
      </w:r>
      <w:r>
        <w:tab/>
        <w:t>Y/N</w:t>
      </w:r>
      <w:r>
        <w:br/>
        <w:t xml:space="preserve">In the opinion of the Head of Department, does the CPD undertaken include CPD of sufficient </w:t>
      </w:r>
      <w:r w:rsidR="00095C79">
        <w:t xml:space="preserve">quantity and </w:t>
      </w:r>
      <w:r>
        <w:t>relevance to the laboratory du</w:t>
      </w:r>
      <w:r w:rsidR="00095C79">
        <w:t>ties expected of the consultant?</w:t>
      </w:r>
      <w:r>
        <w:tab/>
        <w:t xml:space="preserve">Y/N  </w:t>
      </w:r>
    </w:p>
    <w:p w14:paraId="57A3054A" w14:textId="77777777" w:rsidR="0040672A" w:rsidRDefault="0040672A" w:rsidP="0040672A">
      <w:pPr>
        <w:tabs>
          <w:tab w:val="right" w:pos="9072"/>
        </w:tabs>
      </w:pPr>
    </w:p>
    <w:p w14:paraId="2FFEDC6E" w14:textId="77777777" w:rsidR="0040672A" w:rsidRDefault="0040672A" w:rsidP="0040672A">
      <w:pPr>
        <w:tabs>
          <w:tab w:val="right" w:pos="9072"/>
        </w:tabs>
      </w:pPr>
    </w:p>
    <w:p w14:paraId="6ED8578E" w14:textId="77777777" w:rsidR="0040672A" w:rsidRDefault="0040672A" w:rsidP="0040672A">
      <w:pPr>
        <w:tabs>
          <w:tab w:val="right" w:pos="9072"/>
        </w:tabs>
      </w:pPr>
    </w:p>
    <w:p w14:paraId="65999DFE" w14:textId="57B30FD6" w:rsidR="003B4D04" w:rsidRDefault="00154CC7" w:rsidP="00BF057F">
      <w:pPr>
        <w:pStyle w:val="ListParagraph"/>
        <w:numPr>
          <w:ilvl w:val="0"/>
          <w:numId w:val="7"/>
        </w:numPr>
        <w:tabs>
          <w:tab w:val="right" w:pos="9072"/>
        </w:tabs>
      </w:pPr>
      <w:r w:rsidRPr="00154CC7">
        <w:lastRenderedPageBreak/>
        <w:t>Has the</w:t>
      </w:r>
      <w:r w:rsidR="00E20BD1">
        <w:t xml:space="preserve"> medical</w:t>
      </w:r>
      <w:r w:rsidRPr="00154CC7">
        <w:t xml:space="preserve"> consultant</w:t>
      </w:r>
      <w:r w:rsidR="00E20BD1">
        <w:t>/specialty/specialist doctor</w:t>
      </w:r>
      <w:r w:rsidRPr="00154CC7">
        <w:t xml:space="preserve"> had a break in continuous practice of over three months in the last year? </w:t>
      </w:r>
      <w:r w:rsidR="003B4D04">
        <w:tab/>
        <w:t>Y/N</w:t>
      </w:r>
    </w:p>
    <w:p w14:paraId="514F0937" w14:textId="05091F89" w:rsidR="003B4D04" w:rsidRDefault="00DC4BDD" w:rsidP="00EC6944">
      <w:pPr>
        <w:tabs>
          <w:tab w:val="right" w:pos="9072"/>
        </w:tabs>
        <w:ind w:left="426"/>
      </w:pPr>
      <w:r>
        <w:t xml:space="preserve">If </w:t>
      </w:r>
      <w:r w:rsidR="00154CC7">
        <w:t>Y</w:t>
      </w:r>
      <w:r>
        <w:t xml:space="preserve">, has the </w:t>
      </w:r>
      <w:proofErr w:type="spellStart"/>
      <w:r>
        <w:t>AoMRCs</w:t>
      </w:r>
      <w:proofErr w:type="spellEnd"/>
      <w:r>
        <w:t>’ Return to Practice guidance been followed</w:t>
      </w:r>
      <w:r w:rsidR="002D72EC">
        <w:t>?</w:t>
      </w:r>
      <w:r w:rsidR="000D1539">
        <w:t xml:space="preserve"> Y/N</w:t>
      </w:r>
      <w:r w:rsidR="00095C79">
        <w:t xml:space="preserve"> Describe</w:t>
      </w:r>
      <w:r w:rsidR="000D1539">
        <w:t>:</w:t>
      </w:r>
    </w:p>
    <w:p w14:paraId="60216B0E"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7D14DD63" w14:textId="77777777" w:rsidR="002D72EC" w:rsidRDefault="002D72EC" w:rsidP="002D72EC">
      <w:pPr>
        <w:pBdr>
          <w:top w:val="single" w:sz="4" w:space="1" w:color="auto"/>
          <w:left w:val="single" w:sz="4" w:space="4" w:color="auto"/>
          <w:bottom w:val="single" w:sz="4" w:space="1" w:color="auto"/>
          <w:right w:val="single" w:sz="4" w:space="4" w:color="auto"/>
        </w:pBdr>
        <w:tabs>
          <w:tab w:val="right" w:pos="9072"/>
        </w:tabs>
        <w:ind w:left="426"/>
      </w:pPr>
    </w:p>
    <w:p w14:paraId="247E0EFC" w14:textId="5649F29F" w:rsidR="0043347B" w:rsidRPr="00EE2634" w:rsidRDefault="002D72EC" w:rsidP="00BF057F">
      <w:pPr>
        <w:pStyle w:val="ListParagraph"/>
        <w:numPr>
          <w:ilvl w:val="0"/>
          <w:numId w:val="7"/>
        </w:numPr>
        <w:tabs>
          <w:tab w:val="right" w:pos="9072"/>
        </w:tabs>
      </w:pPr>
      <w:r>
        <w:t>Has the consultant</w:t>
      </w:r>
      <w:r w:rsidR="008501C2" w:rsidRPr="00EE2634">
        <w:t xml:space="preserve">/ </w:t>
      </w:r>
      <w:r w:rsidR="00DC02E2">
        <w:t>s</w:t>
      </w:r>
      <w:r w:rsidR="0012153F" w:rsidRPr="00EE2634">
        <w:t>pecialty</w:t>
      </w:r>
      <w:r w:rsidR="00DC02E2">
        <w:t>/specialist</w:t>
      </w:r>
      <w:r w:rsidR="0012153F" w:rsidRPr="00EE2634">
        <w:t xml:space="preserve"> </w:t>
      </w:r>
      <w:r w:rsidR="00DC02E2">
        <w:t>d</w:t>
      </w:r>
      <w:r w:rsidR="008501C2" w:rsidRPr="00EE2634">
        <w:t>octor</w:t>
      </w:r>
      <w:r w:rsidRPr="00EE2634">
        <w:t xml:space="preserve"> participated actively in </w:t>
      </w:r>
      <w:r w:rsidR="00FD391B" w:rsidRPr="00EE2634">
        <w:t>p</w:t>
      </w:r>
      <w:r w:rsidR="0043347B" w:rsidRPr="00EE2634">
        <w:t>eer challenge</w:t>
      </w:r>
      <w:r w:rsidR="00FD391B" w:rsidRPr="00EE2634">
        <w:t xml:space="preserve"> within the parameters laid down by the department?</w:t>
      </w:r>
      <w:r w:rsidR="00FD391B" w:rsidRPr="00EE2634">
        <w:tab/>
        <w:t>Y/N</w:t>
      </w:r>
    </w:p>
    <w:p w14:paraId="1311A24E" w14:textId="0B1B4FE4" w:rsidR="00FD391B" w:rsidRPr="00EE2634" w:rsidRDefault="00A32A76" w:rsidP="00FD391B">
      <w:pPr>
        <w:tabs>
          <w:tab w:val="right" w:pos="9072"/>
        </w:tabs>
        <w:ind w:left="426"/>
      </w:pPr>
      <w:r w:rsidRPr="00EE2634">
        <w:t>If N:</w:t>
      </w:r>
      <w:r w:rsidR="00FD391B" w:rsidRPr="00EE2634">
        <w:t xml:space="preserve"> Describe how the Laboratory is assured that the consultant</w:t>
      </w:r>
      <w:r w:rsidR="008501C2" w:rsidRPr="00EE2634">
        <w:t xml:space="preserve">/ </w:t>
      </w:r>
      <w:r w:rsidR="00DC02E2">
        <w:t>s</w:t>
      </w:r>
      <w:r w:rsidR="0012153F" w:rsidRPr="00EE2634">
        <w:t>pecialty</w:t>
      </w:r>
      <w:r w:rsidR="00DC02E2">
        <w:t>/specialist</w:t>
      </w:r>
      <w:r w:rsidR="008501C2" w:rsidRPr="00EE2634">
        <w:t xml:space="preserve"> </w:t>
      </w:r>
      <w:r w:rsidR="00DC02E2">
        <w:t>d</w:t>
      </w:r>
      <w:r w:rsidR="008501C2" w:rsidRPr="00EE2634">
        <w:t>octor</w:t>
      </w:r>
      <w:r w:rsidR="00FD391B" w:rsidRPr="00EE2634">
        <w:t xml:space="preserve"> participates in peer challenge.</w:t>
      </w:r>
    </w:p>
    <w:p w14:paraId="268C4C20" w14:textId="77777777" w:rsidR="00FD391B" w:rsidRPr="00EE2634" w:rsidRDefault="00FD391B" w:rsidP="00095C79">
      <w:pPr>
        <w:pBdr>
          <w:top w:val="single" w:sz="4" w:space="1" w:color="auto"/>
          <w:left w:val="single" w:sz="4" w:space="4" w:color="auto"/>
          <w:bottom w:val="single" w:sz="4" w:space="1" w:color="auto"/>
          <w:right w:val="single" w:sz="4" w:space="4" w:color="auto"/>
        </w:pBdr>
        <w:tabs>
          <w:tab w:val="right" w:pos="9072"/>
        </w:tabs>
        <w:ind w:left="426"/>
      </w:pPr>
    </w:p>
    <w:p w14:paraId="6F512D88" w14:textId="77777777" w:rsidR="0043347B" w:rsidRPr="00EE2634" w:rsidRDefault="0043347B">
      <w:pPr>
        <w:pBdr>
          <w:top w:val="single" w:sz="4" w:space="1" w:color="auto"/>
          <w:left w:val="single" w:sz="4" w:space="4" w:color="auto"/>
          <w:bottom w:val="single" w:sz="4" w:space="1" w:color="auto"/>
          <w:right w:val="single" w:sz="4" w:space="4" w:color="auto"/>
        </w:pBdr>
        <w:tabs>
          <w:tab w:val="right" w:pos="9072"/>
        </w:tabs>
        <w:ind w:left="426"/>
      </w:pPr>
    </w:p>
    <w:p w14:paraId="184CA64E" w14:textId="77777777" w:rsidR="00095C79" w:rsidRPr="00EE2634" w:rsidRDefault="00095C79" w:rsidP="009C782F">
      <w:pPr>
        <w:tabs>
          <w:tab w:val="right" w:pos="9072"/>
        </w:tabs>
        <w:ind w:left="426"/>
      </w:pPr>
    </w:p>
    <w:p w14:paraId="1BB38E0A" w14:textId="77777777" w:rsidR="008550CA" w:rsidRPr="00EE2634" w:rsidRDefault="008550CA" w:rsidP="008550CA">
      <w:pPr>
        <w:tabs>
          <w:tab w:val="right" w:pos="9072"/>
        </w:tabs>
        <w:ind w:left="426"/>
      </w:pPr>
    </w:p>
    <w:p w14:paraId="525CCEF4" w14:textId="66015AAB" w:rsidR="008550CA" w:rsidRDefault="008550CA" w:rsidP="008550CA">
      <w:pPr>
        <w:tabs>
          <w:tab w:val="right" w:pos="9072"/>
        </w:tabs>
        <w:ind w:left="426"/>
      </w:pPr>
      <w:r w:rsidRPr="00EE2634">
        <w:t xml:space="preserve">Has the consultant/ </w:t>
      </w:r>
      <w:r>
        <w:t>s</w:t>
      </w:r>
      <w:r w:rsidRPr="00EE2634">
        <w:t>pecialty</w:t>
      </w:r>
      <w:r>
        <w:t>/specialist</w:t>
      </w:r>
      <w:r w:rsidRPr="00EE2634">
        <w:t xml:space="preserve"> </w:t>
      </w:r>
      <w:r>
        <w:t>d</w:t>
      </w:r>
      <w:r w:rsidRPr="00EE2634">
        <w:t xml:space="preserve">octor been assessed to </w:t>
      </w:r>
      <w:r w:rsidR="009E24A9">
        <w:t>have</w:t>
      </w:r>
      <w:r w:rsidRPr="00EE2634">
        <w:t xml:space="preserve"> competen</w:t>
      </w:r>
      <w:r w:rsidR="009E24A9">
        <w:t>cy</w:t>
      </w:r>
      <w:r w:rsidRPr="00EE2634">
        <w:t xml:space="preserve"> to undertake all laboratory duties</w:t>
      </w:r>
      <w:r>
        <w:br/>
        <w:t xml:space="preserve"> required?</w:t>
      </w:r>
      <w:r>
        <w:tab/>
        <w:t>Y/N</w:t>
      </w:r>
    </w:p>
    <w:p w14:paraId="4D7C3EC1" w14:textId="77777777" w:rsidR="008550CA" w:rsidRDefault="008550CA" w:rsidP="008550CA">
      <w:pPr>
        <w:tabs>
          <w:tab w:val="right" w:pos="9072"/>
        </w:tabs>
        <w:ind w:left="426"/>
      </w:pPr>
    </w:p>
    <w:p w14:paraId="32806355" w14:textId="77777777" w:rsidR="008550CA" w:rsidRDefault="008550CA" w:rsidP="008550CA">
      <w:pPr>
        <w:tabs>
          <w:tab w:val="right" w:pos="9072"/>
        </w:tabs>
        <w:ind w:left="426"/>
      </w:pPr>
      <w:r>
        <w:t>If no, what actions need to be undertaken? Please provide a time frame to undertake these actions and repeat this competency assessment.</w:t>
      </w:r>
    </w:p>
    <w:p w14:paraId="026F78F8" w14:textId="77777777" w:rsidR="008550CA" w:rsidRDefault="008550CA" w:rsidP="008550CA">
      <w:pPr>
        <w:tabs>
          <w:tab w:val="right" w:pos="9072"/>
        </w:tabs>
        <w:ind w:left="426"/>
      </w:pPr>
    </w:p>
    <w:p w14:paraId="09806158" w14:textId="77777777" w:rsidR="008550CA" w:rsidRDefault="008550CA" w:rsidP="008550CA">
      <w:pPr>
        <w:tabs>
          <w:tab w:val="right" w:pos="9072"/>
        </w:tabs>
        <w:ind w:left="426"/>
      </w:pPr>
    </w:p>
    <w:p w14:paraId="1D2316A2" w14:textId="77777777" w:rsidR="008550CA" w:rsidRDefault="008550CA" w:rsidP="008550CA">
      <w:pPr>
        <w:tabs>
          <w:tab w:val="left" w:pos="5670"/>
          <w:tab w:val="right" w:pos="9072"/>
        </w:tabs>
        <w:ind w:left="426"/>
      </w:pPr>
    </w:p>
    <w:p w14:paraId="66280F05" w14:textId="77777777" w:rsidR="008550CA" w:rsidRDefault="008550CA" w:rsidP="008550CA">
      <w:pPr>
        <w:tabs>
          <w:tab w:val="left" w:pos="5670"/>
          <w:tab w:val="right" w:pos="9072"/>
        </w:tabs>
        <w:ind w:left="426"/>
      </w:pPr>
      <w:r>
        <w:t>By (sign and print name):</w:t>
      </w:r>
      <w:r>
        <w:tab/>
        <w:t>Date:</w:t>
      </w:r>
    </w:p>
    <w:p w14:paraId="29D51D07" w14:textId="77777777" w:rsidR="008550CA" w:rsidRDefault="008550CA" w:rsidP="008550CA">
      <w:pPr>
        <w:tabs>
          <w:tab w:val="left" w:pos="5670"/>
          <w:tab w:val="right" w:pos="9072"/>
        </w:tabs>
        <w:ind w:left="426"/>
      </w:pPr>
      <w:r>
        <w:t>Designation:</w:t>
      </w:r>
    </w:p>
    <w:p w14:paraId="6FC76E68" w14:textId="77777777" w:rsidR="008550CA" w:rsidRDefault="008550CA" w:rsidP="008550CA">
      <w:pPr>
        <w:tabs>
          <w:tab w:val="left" w:pos="5670"/>
          <w:tab w:val="right" w:pos="9072"/>
        </w:tabs>
        <w:ind w:left="426"/>
      </w:pPr>
    </w:p>
    <w:p w14:paraId="6D69EEB7" w14:textId="77777777" w:rsidR="007F6A76" w:rsidRDefault="007F6A76" w:rsidP="008550CA">
      <w:pPr>
        <w:tabs>
          <w:tab w:val="left" w:pos="5670"/>
          <w:tab w:val="right" w:pos="9072"/>
        </w:tabs>
        <w:ind w:left="426"/>
      </w:pPr>
    </w:p>
    <w:p w14:paraId="15B7F216" w14:textId="77777777" w:rsidR="007F6A76" w:rsidRDefault="007F6A76" w:rsidP="008550CA">
      <w:pPr>
        <w:tabs>
          <w:tab w:val="left" w:pos="5670"/>
          <w:tab w:val="right" w:pos="9072"/>
        </w:tabs>
        <w:ind w:left="426"/>
      </w:pPr>
    </w:p>
    <w:p w14:paraId="0553D345" w14:textId="77777777" w:rsidR="007F6A76" w:rsidRDefault="007F6A76" w:rsidP="008550CA">
      <w:pPr>
        <w:tabs>
          <w:tab w:val="left" w:pos="5670"/>
          <w:tab w:val="right" w:pos="9072"/>
        </w:tabs>
        <w:ind w:left="426"/>
      </w:pPr>
    </w:p>
    <w:p w14:paraId="00339AE2" w14:textId="77777777" w:rsidR="007F6A76" w:rsidRDefault="007F6A76" w:rsidP="008550CA">
      <w:pPr>
        <w:tabs>
          <w:tab w:val="left" w:pos="5670"/>
          <w:tab w:val="right" w:pos="9072"/>
        </w:tabs>
        <w:ind w:left="426"/>
      </w:pPr>
    </w:p>
    <w:p w14:paraId="59B95F31" w14:textId="77777777" w:rsidR="007F6A76" w:rsidRDefault="007F6A76" w:rsidP="008550CA">
      <w:pPr>
        <w:tabs>
          <w:tab w:val="left" w:pos="5670"/>
          <w:tab w:val="right" w:pos="9072"/>
        </w:tabs>
        <w:ind w:left="426"/>
      </w:pPr>
    </w:p>
    <w:p w14:paraId="6816ECE6" w14:textId="77777777" w:rsidR="007F6A76" w:rsidRDefault="007F6A76" w:rsidP="008550CA">
      <w:pPr>
        <w:tabs>
          <w:tab w:val="left" w:pos="5670"/>
          <w:tab w:val="right" w:pos="9072"/>
        </w:tabs>
        <w:ind w:left="426"/>
      </w:pPr>
    </w:p>
    <w:p w14:paraId="6679D23D" w14:textId="77777777" w:rsidR="007F6A76" w:rsidRDefault="007F6A76" w:rsidP="000D1539">
      <w:pPr>
        <w:tabs>
          <w:tab w:val="left" w:pos="5670"/>
          <w:tab w:val="right" w:pos="9072"/>
        </w:tabs>
      </w:pPr>
    </w:p>
    <w:p w14:paraId="20030671" w14:textId="434FCD0E" w:rsidR="007F6A76" w:rsidRDefault="007F6A76" w:rsidP="008550CA">
      <w:pPr>
        <w:tabs>
          <w:tab w:val="left" w:pos="5670"/>
          <w:tab w:val="right" w:pos="9072"/>
        </w:tabs>
        <w:ind w:left="426"/>
      </w:pPr>
      <w:r>
        <w:lastRenderedPageBreak/>
        <w:t>Appendix 2</w:t>
      </w:r>
    </w:p>
    <w:p w14:paraId="1B6B4448" w14:textId="77777777" w:rsidR="00217FF1" w:rsidRDefault="007F6A76" w:rsidP="008550CA">
      <w:pPr>
        <w:tabs>
          <w:tab w:val="left" w:pos="5670"/>
          <w:tab w:val="right" w:pos="9072"/>
        </w:tabs>
        <w:ind w:left="426"/>
      </w:pPr>
      <w:r>
        <w:t>Examples of peer review documentation.</w:t>
      </w:r>
      <w:r w:rsidR="00B03006">
        <w:t xml:space="preserve"> </w:t>
      </w:r>
    </w:p>
    <w:p w14:paraId="20D0F6A4" w14:textId="2CED01D0" w:rsidR="007F6A76" w:rsidRDefault="00B03006" w:rsidP="008550CA">
      <w:pPr>
        <w:tabs>
          <w:tab w:val="left" w:pos="5670"/>
          <w:tab w:val="right" w:pos="9072"/>
        </w:tabs>
        <w:ind w:left="426"/>
      </w:pPr>
      <w:r>
        <w:t>Frequency of these may depend on the type of service provided e.g., in networks or standalone establishments.</w:t>
      </w:r>
    </w:p>
    <w:p w14:paraId="3FDD8914" w14:textId="2FFA1971" w:rsidR="00B03006" w:rsidRDefault="00217FF1" w:rsidP="008550CA">
      <w:pPr>
        <w:tabs>
          <w:tab w:val="left" w:pos="5670"/>
          <w:tab w:val="right" w:pos="9072"/>
        </w:tabs>
        <w:ind w:left="426"/>
      </w:pPr>
      <w:r>
        <w:t>However,</w:t>
      </w:r>
      <w:r w:rsidR="00B03006">
        <w:t xml:space="preserve"> peer review is undertaken, it should always be undertaken in a constructive manner so that all members of the team, including trainees, feel supported in a safe learning environment. </w:t>
      </w:r>
      <w:r>
        <w:t>if there are any concerns about a colleague’s management of a patient, it is up to the head of department to consider if this needs to be addressed locally or at a management level.</w:t>
      </w:r>
    </w:p>
    <w:p w14:paraId="033673C9" w14:textId="5CDB4500" w:rsidR="00D2556B" w:rsidRPr="00217FF1" w:rsidRDefault="00B03006" w:rsidP="009C782F">
      <w:pPr>
        <w:tabs>
          <w:tab w:val="left" w:pos="5670"/>
          <w:tab w:val="right" w:pos="9072"/>
        </w:tabs>
        <w:ind w:left="426"/>
        <w:rPr>
          <w:b/>
          <w:bCs/>
        </w:rPr>
      </w:pPr>
      <w:r w:rsidRPr="00217FF1">
        <w:rPr>
          <w:b/>
          <w:bCs/>
        </w:rPr>
        <w:t>Weekend handover</w:t>
      </w:r>
      <w:r>
        <w:rPr>
          <w:b/>
          <w:bCs/>
        </w:rPr>
        <w:t>.</w:t>
      </w:r>
    </w:p>
    <w:p w14:paraId="6E857075" w14:textId="1E5FF17F" w:rsidR="00B03006" w:rsidRDefault="00B03006" w:rsidP="009C782F">
      <w:pPr>
        <w:tabs>
          <w:tab w:val="left" w:pos="5670"/>
          <w:tab w:val="right" w:pos="9072"/>
        </w:tabs>
        <w:ind w:left="426"/>
      </w:pPr>
      <w:r>
        <w:t xml:space="preserve">Patients discussed who may have had clinically important infections or who need follow up. </w:t>
      </w:r>
    </w:p>
    <w:p w14:paraId="0E8EF4D7" w14:textId="38ACC137" w:rsidR="00B03006" w:rsidRDefault="00B03006" w:rsidP="00B03006">
      <w:pPr>
        <w:tabs>
          <w:tab w:val="left" w:pos="5670"/>
          <w:tab w:val="right" w:pos="9072"/>
        </w:tabs>
        <w:ind w:left="426"/>
      </w:pPr>
      <w:r>
        <w:t>Could be attended by clinicians in a network</w:t>
      </w:r>
      <w:r w:rsidR="00217FF1">
        <w:t xml:space="preserve"> </w:t>
      </w:r>
      <w:r>
        <w:t xml:space="preserve">including trainees, and other allied health professionals </w:t>
      </w:r>
      <w:r w:rsidR="00217FF1">
        <w:t>e.g.,</w:t>
      </w:r>
      <w:r>
        <w:t xml:space="preserve"> respiratory team or infectious diseases who have named and/or shared care for patients. Discussion of cases including management to date with an opportunity to challenge management if appropriate. </w:t>
      </w:r>
    </w:p>
    <w:p w14:paraId="51B5EFFE" w14:textId="1D5389D0" w:rsidR="00B03006" w:rsidRDefault="00B03006" w:rsidP="009C782F">
      <w:pPr>
        <w:tabs>
          <w:tab w:val="left" w:pos="5670"/>
          <w:tab w:val="right" w:pos="9072"/>
        </w:tabs>
        <w:ind w:left="426"/>
      </w:pPr>
    </w:p>
    <w:p w14:paraId="37CAFFA0" w14:textId="4786A5DE" w:rsidR="00B03006" w:rsidRPr="00217FF1" w:rsidRDefault="00B03006" w:rsidP="009C782F">
      <w:pPr>
        <w:tabs>
          <w:tab w:val="left" w:pos="5670"/>
          <w:tab w:val="right" w:pos="9072"/>
        </w:tabs>
        <w:ind w:left="426"/>
        <w:rPr>
          <w:b/>
          <w:bCs/>
        </w:rPr>
      </w:pPr>
      <w:r w:rsidRPr="00217FF1">
        <w:rPr>
          <w:b/>
          <w:bCs/>
        </w:rPr>
        <w:t>Interesting cases review.</w:t>
      </w:r>
    </w:p>
    <w:p w14:paraId="78BA43EA" w14:textId="0E979387" w:rsidR="00B03006" w:rsidRDefault="00B03006" w:rsidP="009C782F">
      <w:pPr>
        <w:tabs>
          <w:tab w:val="left" w:pos="5670"/>
          <w:tab w:val="right" w:pos="9072"/>
        </w:tabs>
        <w:ind w:left="426"/>
      </w:pPr>
      <w:bookmarkStart w:id="3" w:name="_Hlk139380774"/>
      <w:r>
        <w:t xml:space="preserve">Attendance as above. Clinicians bring interesting cases to the meeting where management options are discussed, including management to date with an opportunity to challenge management if appropriate. </w:t>
      </w:r>
    </w:p>
    <w:bookmarkEnd w:id="3"/>
    <w:p w14:paraId="5B04979F" w14:textId="77777777" w:rsidR="00D2556B" w:rsidRDefault="00D2556B" w:rsidP="009C782F">
      <w:pPr>
        <w:tabs>
          <w:tab w:val="left" w:pos="5670"/>
          <w:tab w:val="right" w:pos="9072"/>
        </w:tabs>
        <w:ind w:left="426"/>
      </w:pPr>
    </w:p>
    <w:p w14:paraId="5A39920B" w14:textId="51561D22" w:rsidR="00D2556B" w:rsidRPr="00217FF1" w:rsidRDefault="00B03006" w:rsidP="009C782F">
      <w:pPr>
        <w:tabs>
          <w:tab w:val="left" w:pos="5670"/>
          <w:tab w:val="right" w:pos="9072"/>
        </w:tabs>
        <w:ind w:left="426"/>
        <w:rPr>
          <w:b/>
          <w:bCs/>
        </w:rPr>
      </w:pPr>
      <w:r>
        <w:rPr>
          <w:b/>
          <w:bCs/>
        </w:rPr>
        <w:t>Infection service MDTs.</w:t>
      </w:r>
    </w:p>
    <w:p w14:paraId="3C3040DD" w14:textId="2ED41027" w:rsidR="00B03006" w:rsidRDefault="00B03006" w:rsidP="00B03006">
      <w:pPr>
        <w:tabs>
          <w:tab w:val="left" w:pos="5670"/>
          <w:tab w:val="right" w:pos="9072"/>
        </w:tabs>
        <w:ind w:left="426"/>
      </w:pPr>
      <w:r>
        <w:t>Attendance as above. Clinicians bring interesting cases to the meeting where management options are discussed, including management to date with an opportunity to challenge management if appropriate. Often radiologists attend and review radiology which may guide management and further investigations.</w:t>
      </w:r>
    </w:p>
    <w:p w14:paraId="6DA49453" w14:textId="77777777" w:rsidR="00D2556B" w:rsidRDefault="00D2556B" w:rsidP="009C782F">
      <w:pPr>
        <w:tabs>
          <w:tab w:val="left" w:pos="5670"/>
          <w:tab w:val="right" w:pos="9072"/>
        </w:tabs>
        <w:ind w:left="426"/>
      </w:pPr>
    </w:p>
    <w:p w14:paraId="3C30B017" w14:textId="0238DEB0" w:rsidR="00B03006" w:rsidRPr="00217FF1" w:rsidRDefault="00B03006" w:rsidP="009C782F">
      <w:pPr>
        <w:tabs>
          <w:tab w:val="left" w:pos="5670"/>
          <w:tab w:val="right" w:pos="9072"/>
        </w:tabs>
        <w:ind w:left="426"/>
        <w:rPr>
          <w:b/>
          <w:bCs/>
        </w:rPr>
      </w:pPr>
      <w:r>
        <w:rPr>
          <w:b/>
          <w:bCs/>
        </w:rPr>
        <w:t>Review of interpretative comments on samples.</w:t>
      </w:r>
    </w:p>
    <w:p w14:paraId="5DDB164F" w14:textId="10487DE5" w:rsidR="00D2556B" w:rsidRDefault="00B03006" w:rsidP="009C782F">
      <w:pPr>
        <w:tabs>
          <w:tab w:val="left" w:pos="5670"/>
          <w:tab w:val="right" w:pos="9072"/>
        </w:tabs>
        <w:ind w:left="426"/>
      </w:pPr>
      <w:r>
        <w:t>Many infection departments have the clinicians provide comments on clinical samples, to help guide their colleagues on appropriate investigations and management. These may be reviewed at a regular meeting with discussion on the utility of the comments and if any improvements could be made.</w:t>
      </w:r>
    </w:p>
    <w:p w14:paraId="38F3ACBE" w14:textId="77777777" w:rsidR="00D2556B" w:rsidRDefault="00D2556B" w:rsidP="009C782F">
      <w:pPr>
        <w:tabs>
          <w:tab w:val="left" w:pos="5670"/>
          <w:tab w:val="right" w:pos="9072"/>
        </w:tabs>
        <w:ind w:left="426"/>
      </w:pPr>
    </w:p>
    <w:p w14:paraId="7736B8E8" w14:textId="77777777" w:rsidR="00D2556B" w:rsidRDefault="00D2556B" w:rsidP="009C782F">
      <w:pPr>
        <w:tabs>
          <w:tab w:val="left" w:pos="5670"/>
          <w:tab w:val="right" w:pos="9072"/>
        </w:tabs>
        <w:ind w:left="426"/>
      </w:pPr>
    </w:p>
    <w:p w14:paraId="09608BDA" w14:textId="77777777" w:rsidR="00D2556B" w:rsidRDefault="00D2556B" w:rsidP="009C782F">
      <w:pPr>
        <w:tabs>
          <w:tab w:val="left" w:pos="5670"/>
          <w:tab w:val="right" w:pos="9072"/>
        </w:tabs>
        <w:ind w:left="426"/>
      </w:pPr>
    </w:p>
    <w:p w14:paraId="57E1EF81" w14:textId="77777777" w:rsidR="00D73C48" w:rsidRDefault="00D73C48" w:rsidP="009C782F">
      <w:pPr>
        <w:tabs>
          <w:tab w:val="left" w:pos="5670"/>
          <w:tab w:val="right" w:pos="9072"/>
        </w:tabs>
        <w:ind w:left="426"/>
      </w:pPr>
    </w:p>
    <w:p w14:paraId="11AE0261" w14:textId="49244BF4" w:rsidR="00D73C48" w:rsidRDefault="00217FF1" w:rsidP="009C782F">
      <w:pPr>
        <w:tabs>
          <w:tab w:val="left" w:pos="5670"/>
          <w:tab w:val="right" w:pos="9072"/>
        </w:tabs>
        <w:ind w:left="426"/>
      </w:pPr>
      <w:r>
        <w:lastRenderedPageBreak/>
        <w:t>Appendix 3</w:t>
      </w:r>
    </w:p>
    <w:p w14:paraId="6B863FAD" w14:textId="3E232B09" w:rsidR="00217FF1" w:rsidRDefault="00217FF1" w:rsidP="009C782F">
      <w:pPr>
        <w:tabs>
          <w:tab w:val="left" w:pos="5670"/>
          <w:tab w:val="right" w:pos="9072"/>
        </w:tabs>
        <w:ind w:left="426"/>
      </w:pPr>
      <w:r>
        <w:t>Example of documentation of a peer review</w:t>
      </w:r>
    </w:p>
    <w:p w14:paraId="4C1578E3" w14:textId="5A5AC833" w:rsidR="00217FF1" w:rsidRDefault="005A386D" w:rsidP="009C782F">
      <w:pPr>
        <w:tabs>
          <w:tab w:val="left" w:pos="5670"/>
          <w:tab w:val="right" w:pos="9072"/>
        </w:tabs>
        <w:ind w:left="426"/>
      </w:pPr>
      <w:r w:rsidRPr="005A386D">
        <w:rPr>
          <w:noProof/>
        </w:rPr>
        <w:drawing>
          <wp:inline distT="0" distB="0" distL="0" distR="0" wp14:anchorId="057B0908" wp14:editId="05D84012">
            <wp:extent cx="5731510" cy="1672590"/>
            <wp:effectExtent l="0" t="0" r="0" b="0"/>
            <wp:docPr id="490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72590"/>
                    </a:xfrm>
                    <a:prstGeom prst="rect">
                      <a:avLst/>
                    </a:prstGeom>
                    <a:noFill/>
                    <a:ln>
                      <a:noFill/>
                    </a:ln>
                  </pic:spPr>
                </pic:pic>
              </a:graphicData>
            </a:graphic>
          </wp:inline>
        </w:drawing>
      </w:r>
    </w:p>
    <w:p w14:paraId="14F2B5F2" w14:textId="77777777" w:rsidR="00D73C48" w:rsidRDefault="00D73C48" w:rsidP="003763C9">
      <w:pPr>
        <w:tabs>
          <w:tab w:val="left" w:pos="5670"/>
          <w:tab w:val="right" w:pos="9072"/>
        </w:tabs>
      </w:pPr>
    </w:p>
    <w:p w14:paraId="4D2D0504" w14:textId="46269C8C" w:rsidR="00D2556B" w:rsidRPr="00D73C48" w:rsidRDefault="005A386D" w:rsidP="00D73C48">
      <w:pPr>
        <w:spacing w:after="0"/>
        <w:rPr>
          <w:rFonts w:cs="Arial"/>
        </w:rPr>
      </w:pPr>
      <w:r>
        <w:rPr>
          <w:rFonts w:cs="Arial"/>
        </w:rPr>
        <w:t>It is recommended that these are kept in a word document or excel file or similar and filed electronically in a shared for ease of access. If used for appraisals or teaching the patients must be anonymised.</w:t>
      </w:r>
    </w:p>
    <w:sectPr w:rsidR="00D2556B" w:rsidRPr="00D73C48" w:rsidSect="0025220B">
      <w:headerReference w:type="default" r:id="rId13"/>
      <w:footerReference w:type="default" r:id="rId14"/>
      <w:pgSz w:w="11906" w:h="16838"/>
      <w:pgMar w:top="1440" w:right="1440" w:bottom="1440" w:left="1440" w:header="708"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C4DF" w14:textId="77777777" w:rsidR="00F41A1E" w:rsidRDefault="00F41A1E" w:rsidP="009C782F">
      <w:pPr>
        <w:spacing w:after="0" w:line="240" w:lineRule="auto"/>
      </w:pPr>
      <w:r>
        <w:separator/>
      </w:r>
    </w:p>
  </w:endnote>
  <w:endnote w:type="continuationSeparator" w:id="0">
    <w:p w14:paraId="7759F396" w14:textId="77777777" w:rsidR="00F41A1E" w:rsidRDefault="00F41A1E" w:rsidP="009C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59683"/>
      <w:docPartObj>
        <w:docPartGallery w:val="Page Numbers (Bottom of Page)"/>
        <w:docPartUnique/>
      </w:docPartObj>
    </w:sdtPr>
    <w:sdtEndPr>
      <w:rPr>
        <w:noProof/>
      </w:rPr>
    </w:sdtEndPr>
    <w:sdtContent>
      <w:p w14:paraId="58D61232" w14:textId="0408DBBD" w:rsidR="00D73C48" w:rsidRDefault="00624472" w:rsidP="00FC7307">
        <w:pPr>
          <w:pStyle w:val="Footer"/>
        </w:pPr>
        <w:r>
          <w:rPr>
            <w:noProof/>
          </w:rPr>
          <mc:AlternateContent>
            <mc:Choice Requires="wps">
              <w:drawing>
                <wp:anchor distT="45720" distB="45720" distL="114300" distR="114300" simplePos="0" relativeHeight="251659264" behindDoc="0" locked="0" layoutInCell="1" allowOverlap="1" wp14:anchorId="1937AF62" wp14:editId="5113EA1B">
                  <wp:simplePos x="0" y="0"/>
                  <wp:positionH relativeFrom="column">
                    <wp:posOffset>2308860</wp:posOffset>
                  </wp:positionH>
                  <wp:positionV relativeFrom="paragraph">
                    <wp:posOffset>7620</wp:posOffset>
                  </wp:positionV>
                  <wp:extent cx="4290060" cy="9220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922020"/>
                          </a:xfrm>
                          <a:prstGeom prst="rect">
                            <a:avLst/>
                          </a:prstGeom>
                          <a:noFill/>
                          <a:ln w="9525">
                            <a:noFill/>
                            <a:miter lim="800000"/>
                            <a:headEnd/>
                            <a:tailEnd/>
                          </a:ln>
                        </wps:spPr>
                        <wps:txbx>
                          <w:txbxContent>
                            <w:p w14:paraId="14E3ACD6" w14:textId="77777777" w:rsidR="00FC7307" w:rsidRDefault="00FC7307" w:rsidP="00FC7307">
                              <w:pPr>
                                <w:spacing w:after="0"/>
                                <w:jc w:val="center"/>
                                <w:rPr>
                                  <w:rFonts w:ascii="Arial" w:hAnsi="Arial" w:cs="Arial"/>
                                  <w:sz w:val="20"/>
                                  <w:szCs w:val="20"/>
                                </w:rPr>
                              </w:pPr>
                              <w:bookmarkStart w:id="4" w:name="_Hlk65747857"/>
                              <w:r w:rsidRPr="00A80F8F">
                                <w:rPr>
                                  <w:rFonts w:ascii="Arial" w:hAnsi="Arial" w:cs="Arial"/>
                                  <w:sz w:val="20"/>
                                  <w:szCs w:val="20"/>
                                </w:rPr>
                                <w:t>British Infection Association</w:t>
                              </w:r>
                            </w:p>
                            <w:p w14:paraId="674EB8C3" w14:textId="29CC1238" w:rsidR="00FC7307" w:rsidRPr="00A80F8F" w:rsidRDefault="00FC7307" w:rsidP="00FC7307">
                              <w:pPr>
                                <w:spacing w:after="0"/>
                                <w:jc w:val="center"/>
                                <w:rPr>
                                  <w:rFonts w:ascii="Arial" w:hAnsi="Arial" w:cs="Arial"/>
                                  <w:sz w:val="20"/>
                                  <w:szCs w:val="20"/>
                                </w:rPr>
                              </w:pPr>
                              <w:r w:rsidRPr="00A80F8F">
                                <w:rPr>
                                  <w:sz w:val="20"/>
                                  <w:szCs w:val="20"/>
                                </w:rPr>
                                <w:t>B</w:t>
                              </w:r>
                              <w:r w:rsidRPr="00A80F8F">
                                <w:rPr>
                                  <w:rFonts w:ascii="Arial" w:hAnsi="Arial" w:cs="Arial"/>
                                  <w:sz w:val="20"/>
                                  <w:szCs w:val="20"/>
                                </w:rPr>
                                <w:t>lackburn House, Redhouse Road, Bathgate, West Lothian, EH47 7AQ</w:t>
                              </w:r>
                            </w:p>
                            <w:bookmarkEnd w:id="4"/>
                            <w:p w14:paraId="5212ECC7" w14:textId="77777777" w:rsidR="00FC7307" w:rsidRPr="00A80F8F" w:rsidRDefault="00FC7307" w:rsidP="00FC7307">
                              <w:pPr>
                                <w:pStyle w:val="Footer"/>
                                <w:tabs>
                                  <w:tab w:val="right" w:pos="9214"/>
                                </w:tabs>
                                <w:ind w:left="-851" w:right="-1322"/>
                                <w:jc w:val="center"/>
                                <w:rPr>
                                  <w:rFonts w:ascii="Arial" w:hAnsi="Arial" w:cs="Arial"/>
                                  <w:sz w:val="21"/>
                                  <w:szCs w:val="21"/>
                                </w:rPr>
                              </w:pPr>
                              <w:r w:rsidRPr="00A80F8F">
                                <w:rPr>
                                  <w:rFonts w:ascii="Arial" w:hAnsi="Arial" w:cs="Arial"/>
                                  <w:sz w:val="20"/>
                                  <w:szCs w:val="20"/>
                                </w:rPr>
                                <w:t xml:space="preserve">Tel: 01506 292035 </w:t>
                              </w:r>
                              <w:r w:rsidRPr="00A80F8F">
                                <w:rPr>
                                  <w:noProof/>
                                  <w:sz w:val="20"/>
                                  <w:szCs w:val="20"/>
                                  <w:lang w:eastAsia="en-GB"/>
                                </w:rPr>
                                <w:t>|</w:t>
                              </w:r>
                              <w:r w:rsidRPr="00A80F8F">
                                <w:rPr>
                                  <w:rFonts w:ascii="Arial" w:hAnsi="Arial"/>
                                  <w:sz w:val="20"/>
                                  <w:szCs w:val="20"/>
                                </w:rPr>
                                <w:t xml:space="preserve"> </w:t>
                              </w:r>
                              <w:r w:rsidRPr="00A80F8F">
                                <w:rPr>
                                  <w:rFonts w:ascii="Arial" w:hAnsi="Arial" w:cs="Arial"/>
                                  <w:sz w:val="20"/>
                                  <w:szCs w:val="20"/>
                                </w:rPr>
                                <w:t xml:space="preserve">email: </w:t>
                              </w:r>
                              <w:hyperlink r:id="rId1" w:history="1">
                                <w:r w:rsidRPr="00A80F8F">
                                  <w:rPr>
                                    <w:rStyle w:val="Hyperlink"/>
                                    <w:rFonts w:ascii="Arial" w:hAnsi="Arial" w:cs="Arial"/>
                                    <w:sz w:val="20"/>
                                    <w:szCs w:val="20"/>
                                  </w:rPr>
                                  <w:t>admin@britishinfection.org</w:t>
                                </w:r>
                              </w:hyperlink>
                              <w:r w:rsidRPr="00A80F8F">
                                <w:rPr>
                                  <w:rFonts w:ascii="Arial" w:hAnsi="Arial" w:cs="Arial"/>
                                  <w:sz w:val="20"/>
                                  <w:szCs w:val="20"/>
                                </w:rPr>
                                <w:t xml:space="preserve"> </w:t>
                              </w:r>
                              <w:r w:rsidRPr="00A80F8F">
                                <w:rPr>
                                  <w:rFonts w:ascii="Arial" w:hAnsi="Arial" w:cs="Arial"/>
                                  <w:sz w:val="20"/>
                                  <w:szCs w:val="20"/>
                                </w:rPr>
                                <w:br/>
                                <w:t xml:space="preserve">Website: </w:t>
                              </w:r>
                              <w:hyperlink r:id="rId2" w:history="1">
                                <w:r w:rsidRPr="00A80F8F">
                                  <w:rPr>
                                    <w:rStyle w:val="Hyperlink"/>
                                    <w:rFonts w:ascii="Arial" w:hAnsi="Arial" w:cs="Arial"/>
                                    <w:sz w:val="20"/>
                                    <w:szCs w:val="20"/>
                                  </w:rPr>
                                  <w:t>www.britishinfection.org</w:t>
                                </w:r>
                              </w:hyperlink>
                              <w:r w:rsidRPr="00A80F8F">
                                <w:rPr>
                                  <w:rFonts w:ascii="Arial" w:hAnsi="Arial" w:cs="Arial"/>
                                  <w:sz w:val="20"/>
                                  <w:szCs w:val="20"/>
                                </w:rPr>
                                <w:t xml:space="preserve"> </w:t>
                              </w:r>
                              <w:r w:rsidRPr="00A80F8F">
                                <w:rPr>
                                  <w:noProof/>
                                  <w:sz w:val="20"/>
                                  <w:szCs w:val="20"/>
                                  <w:lang w:eastAsia="en-GB"/>
                                </w:rPr>
                                <w:t>|</w:t>
                              </w:r>
                              <w:r w:rsidRPr="00A80F8F">
                                <w:rPr>
                                  <w:rFonts w:ascii="Arial" w:hAnsi="Arial"/>
                                  <w:sz w:val="20"/>
                                  <w:szCs w:val="20"/>
                                </w:rPr>
                                <w:t xml:space="preserve"> </w:t>
                              </w:r>
                              <w:r w:rsidRPr="00A80F8F">
                                <w:rPr>
                                  <w:rFonts w:ascii="Arial" w:hAnsi="Arial" w:cs="Arial"/>
                                  <w:sz w:val="20"/>
                                  <w:szCs w:val="20"/>
                                </w:rPr>
                                <w:t>Twitter: @biainfection</w:t>
                              </w:r>
                              <w:r>
                                <w:rPr>
                                  <w:rFonts w:ascii="Arial" w:hAnsi="Arial"/>
                                  <w:sz w:val="16"/>
                                  <w:szCs w:val="16"/>
                                </w:rPr>
                                <w:br/>
                              </w:r>
                              <w:r w:rsidRPr="005569BD">
                                <w:rPr>
                                  <w:rFonts w:ascii="Arial" w:hAnsi="Arial"/>
                                  <w:sz w:val="16"/>
                                  <w:szCs w:val="16"/>
                                </w:rPr>
                                <w:t xml:space="preserve">Company Registration No. </w:t>
                              </w:r>
                              <w:r w:rsidRPr="00A80F8F">
                                <w:rPr>
                                  <w:rFonts w:ascii="Arial" w:hAnsi="Arial"/>
                                  <w:sz w:val="16"/>
                                  <w:szCs w:val="16"/>
                                </w:rPr>
                                <w:t>SC198418 |</w:t>
                              </w:r>
                              <w:r>
                                <w:rPr>
                                  <w:rFonts w:ascii="Arial" w:hAnsi="Arial"/>
                                  <w:sz w:val="16"/>
                                  <w:szCs w:val="16"/>
                                </w:rPr>
                                <w:t xml:space="preserve"> </w:t>
                              </w:r>
                              <w:r w:rsidRPr="005569BD">
                                <w:rPr>
                                  <w:rFonts w:ascii="Arial" w:hAnsi="Arial"/>
                                  <w:sz w:val="16"/>
                                  <w:szCs w:val="16"/>
                                </w:rPr>
                                <w:t>Charity Registration No.</w:t>
                              </w:r>
                              <w:r w:rsidRPr="00A80F8F">
                                <w:rPr>
                                  <w:rFonts w:ascii="Arial" w:hAnsi="Arial"/>
                                  <w:sz w:val="16"/>
                                  <w:szCs w:val="16"/>
                                </w:rPr>
                                <w:t xml:space="preserve"> SC029247</w:t>
                              </w:r>
                            </w:p>
                            <w:p w14:paraId="30DCF80F" w14:textId="318B03AD" w:rsidR="00FC7307" w:rsidRDefault="00FC73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7AF62" id="_x0000_t202" coordsize="21600,21600" o:spt="202" path="m,l,21600r21600,l21600,xe">
                  <v:stroke joinstyle="miter"/>
                  <v:path gradientshapeok="t" o:connecttype="rect"/>
                </v:shapetype>
                <v:shape id="Text Box 1" o:spid="_x0000_s1026" type="#_x0000_t202" style="position:absolute;margin-left:181.8pt;margin-top:.6pt;width:337.8pt;height:7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" filled="f" stroked="f">
                  <v:textbox>
                    <w:txbxContent>
                      <w:p w14:paraId="14E3ACD6" w14:textId="77777777" w:rsidR="00FC7307" w:rsidRDefault="00FC7307" w:rsidP="00FC7307">
                        <w:pPr>
                          <w:spacing w:after="0"/>
                          <w:jc w:val="center"/>
                          <w:rPr>
                            <w:rFonts w:ascii="Arial" w:hAnsi="Arial" w:cs="Arial"/>
                            <w:sz w:val="20"/>
                            <w:szCs w:val="20"/>
                          </w:rPr>
                        </w:pPr>
                        <w:bookmarkStart w:id="5" w:name="_Hlk65747857"/>
                        <w:r w:rsidRPr="00A80F8F">
                          <w:rPr>
                            <w:rFonts w:ascii="Arial" w:hAnsi="Arial" w:cs="Arial"/>
                            <w:sz w:val="20"/>
                            <w:szCs w:val="20"/>
                          </w:rPr>
                          <w:t>British Infection Association</w:t>
                        </w:r>
                      </w:p>
                      <w:p w14:paraId="674EB8C3" w14:textId="29CC1238" w:rsidR="00FC7307" w:rsidRPr="00A80F8F" w:rsidRDefault="00FC7307" w:rsidP="00FC7307">
                        <w:pPr>
                          <w:spacing w:after="0"/>
                          <w:jc w:val="center"/>
                          <w:rPr>
                            <w:rFonts w:ascii="Arial" w:hAnsi="Arial" w:cs="Arial"/>
                            <w:sz w:val="20"/>
                            <w:szCs w:val="20"/>
                          </w:rPr>
                        </w:pPr>
                        <w:r w:rsidRPr="00A80F8F">
                          <w:rPr>
                            <w:sz w:val="20"/>
                            <w:szCs w:val="20"/>
                          </w:rPr>
                          <w:t>B</w:t>
                        </w:r>
                        <w:r w:rsidRPr="00A80F8F">
                          <w:rPr>
                            <w:rFonts w:ascii="Arial" w:hAnsi="Arial" w:cs="Arial"/>
                            <w:sz w:val="20"/>
                            <w:szCs w:val="20"/>
                          </w:rPr>
                          <w:t>lackburn House, Redhouse Road, Bathgate, West Lothian, EH47 7AQ</w:t>
                        </w:r>
                      </w:p>
                      <w:bookmarkEnd w:id="5"/>
                      <w:p w14:paraId="5212ECC7" w14:textId="77777777" w:rsidR="00FC7307" w:rsidRPr="00A80F8F" w:rsidRDefault="00FC7307" w:rsidP="00FC7307">
                        <w:pPr>
                          <w:pStyle w:val="Footer"/>
                          <w:tabs>
                            <w:tab w:val="right" w:pos="9214"/>
                          </w:tabs>
                          <w:ind w:left="-851" w:right="-1322"/>
                          <w:jc w:val="center"/>
                          <w:rPr>
                            <w:rFonts w:ascii="Arial" w:hAnsi="Arial" w:cs="Arial"/>
                            <w:sz w:val="21"/>
                            <w:szCs w:val="21"/>
                          </w:rPr>
                        </w:pPr>
                        <w:r w:rsidRPr="00A80F8F">
                          <w:rPr>
                            <w:rFonts w:ascii="Arial" w:hAnsi="Arial" w:cs="Arial"/>
                            <w:sz w:val="20"/>
                            <w:szCs w:val="20"/>
                          </w:rPr>
                          <w:t xml:space="preserve">Tel: 01506 292035 </w:t>
                        </w:r>
                        <w:r w:rsidRPr="00A80F8F">
                          <w:rPr>
                            <w:noProof/>
                            <w:sz w:val="20"/>
                            <w:szCs w:val="20"/>
                            <w:lang w:eastAsia="en-GB"/>
                          </w:rPr>
                          <w:t>|</w:t>
                        </w:r>
                        <w:r w:rsidRPr="00A80F8F">
                          <w:rPr>
                            <w:rFonts w:ascii="Arial" w:hAnsi="Arial"/>
                            <w:sz w:val="20"/>
                            <w:szCs w:val="20"/>
                          </w:rPr>
                          <w:t xml:space="preserve"> </w:t>
                        </w:r>
                        <w:r w:rsidRPr="00A80F8F">
                          <w:rPr>
                            <w:rFonts w:ascii="Arial" w:hAnsi="Arial" w:cs="Arial"/>
                            <w:sz w:val="20"/>
                            <w:szCs w:val="20"/>
                          </w:rPr>
                          <w:t xml:space="preserve">email: </w:t>
                        </w:r>
                        <w:hyperlink r:id="rId3" w:history="1">
                          <w:r w:rsidRPr="00A80F8F">
                            <w:rPr>
                              <w:rStyle w:val="Hyperlink"/>
                              <w:rFonts w:ascii="Arial" w:hAnsi="Arial" w:cs="Arial"/>
                              <w:sz w:val="20"/>
                              <w:szCs w:val="20"/>
                            </w:rPr>
                            <w:t>admin@britishinfection.org</w:t>
                          </w:r>
                        </w:hyperlink>
                        <w:r w:rsidRPr="00A80F8F">
                          <w:rPr>
                            <w:rFonts w:ascii="Arial" w:hAnsi="Arial" w:cs="Arial"/>
                            <w:sz w:val="20"/>
                            <w:szCs w:val="20"/>
                          </w:rPr>
                          <w:t xml:space="preserve"> </w:t>
                        </w:r>
                        <w:r w:rsidRPr="00A80F8F">
                          <w:rPr>
                            <w:rFonts w:ascii="Arial" w:hAnsi="Arial" w:cs="Arial"/>
                            <w:sz w:val="20"/>
                            <w:szCs w:val="20"/>
                          </w:rPr>
                          <w:br/>
                          <w:t xml:space="preserve">Website: </w:t>
                        </w:r>
                        <w:hyperlink r:id="rId4" w:history="1">
                          <w:r w:rsidRPr="00A80F8F">
                            <w:rPr>
                              <w:rStyle w:val="Hyperlink"/>
                              <w:rFonts w:ascii="Arial" w:hAnsi="Arial" w:cs="Arial"/>
                              <w:sz w:val="20"/>
                              <w:szCs w:val="20"/>
                            </w:rPr>
                            <w:t>www.britishinfection.org</w:t>
                          </w:r>
                        </w:hyperlink>
                        <w:r w:rsidRPr="00A80F8F">
                          <w:rPr>
                            <w:rFonts w:ascii="Arial" w:hAnsi="Arial" w:cs="Arial"/>
                            <w:sz w:val="20"/>
                            <w:szCs w:val="20"/>
                          </w:rPr>
                          <w:t xml:space="preserve"> </w:t>
                        </w:r>
                        <w:r w:rsidRPr="00A80F8F">
                          <w:rPr>
                            <w:noProof/>
                            <w:sz w:val="20"/>
                            <w:szCs w:val="20"/>
                            <w:lang w:eastAsia="en-GB"/>
                          </w:rPr>
                          <w:t>|</w:t>
                        </w:r>
                        <w:r w:rsidRPr="00A80F8F">
                          <w:rPr>
                            <w:rFonts w:ascii="Arial" w:hAnsi="Arial"/>
                            <w:sz w:val="20"/>
                            <w:szCs w:val="20"/>
                          </w:rPr>
                          <w:t xml:space="preserve"> </w:t>
                        </w:r>
                        <w:r w:rsidRPr="00A80F8F">
                          <w:rPr>
                            <w:rFonts w:ascii="Arial" w:hAnsi="Arial" w:cs="Arial"/>
                            <w:sz w:val="20"/>
                            <w:szCs w:val="20"/>
                          </w:rPr>
                          <w:t>Twitter: @biainfection</w:t>
                        </w:r>
                        <w:r>
                          <w:rPr>
                            <w:rFonts w:ascii="Arial" w:hAnsi="Arial"/>
                            <w:sz w:val="16"/>
                            <w:szCs w:val="16"/>
                          </w:rPr>
                          <w:br/>
                        </w:r>
                        <w:r w:rsidRPr="005569BD">
                          <w:rPr>
                            <w:rFonts w:ascii="Arial" w:hAnsi="Arial"/>
                            <w:sz w:val="16"/>
                            <w:szCs w:val="16"/>
                          </w:rPr>
                          <w:t xml:space="preserve">Company Registration No. </w:t>
                        </w:r>
                        <w:r w:rsidRPr="00A80F8F">
                          <w:rPr>
                            <w:rFonts w:ascii="Arial" w:hAnsi="Arial"/>
                            <w:sz w:val="16"/>
                            <w:szCs w:val="16"/>
                          </w:rPr>
                          <w:t>SC198418 |</w:t>
                        </w:r>
                        <w:r>
                          <w:rPr>
                            <w:rFonts w:ascii="Arial" w:hAnsi="Arial"/>
                            <w:sz w:val="16"/>
                            <w:szCs w:val="16"/>
                          </w:rPr>
                          <w:t xml:space="preserve"> </w:t>
                        </w:r>
                        <w:r w:rsidRPr="005569BD">
                          <w:rPr>
                            <w:rFonts w:ascii="Arial" w:hAnsi="Arial"/>
                            <w:sz w:val="16"/>
                            <w:szCs w:val="16"/>
                          </w:rPr>
                          <w:t>Charity Registration No.</w:t>
                        </w:r>
                        <w:r w:rsidRPr="00A80F8F">
                          <w:rPr>
                            <w:rFonts w:ascii="Arial" w:hAnsi="Arial"/>
                            <w:sz w:val="16"/>
                            <w:szCs w:val="16"/>
                          </w:rPr>
                          <w:t xml:space="preserve"> SC029247</w:t>
                        </w:r>
                      </w:p>
                      <w:p w14:paraId="30DCF80F" w14:textId="318B03AD" w:rsidR="00FC7307" w:rsidRDefault="00FC7307"/>
                    </w:txbxContent>
                  </v:textbox>
                  <w10:wrap type="square"/>
                </v:shape>
              </w:pict>
            </mc:Fallback>
          </mc:AlternateContent>
        </w:r>
        <w:r w:rsidR="00D73C48">
          <w:fldChar w:fldCharType="begin"/>
        </w:r>
        <w:r w:rsidR="00D73C48">
          <w:instrText xml:space="preserve"> PAGE   \* MERGEFORMAT </w:instrText>
        </w:r>
        <w:r w:rsidR="00D73C48">
          <w:fldChar w:fldCharType="separate"/>
        </w:r>
        <w:r w:rsidR="0097589F">
          <w:rPr>
            <w:noProof/>
          </w:rPr>
          <w:t>1</w:t>
        </w:r>
        <w:r w:rsidR="00D73C48">
          <w:rPr>
            <w:noProof/>
          </w:rPr>
          <w:fldChar w:fldCharType="end"/>
        </w:r>
      </w:p>
    </w:sdtContent>
  </w:sdt>
  <w:p w14:paraId="2784DBDC" w14:textId="2F20206C" w:rsidR="009C782F" w:rsidRDefault="00053145">
    <w:pPr>
      <w:pStyle w:val="Footer"/>
    </w:pPr>
    <w:r>
      <w:t xml:space="preserve">Version </w:t>
    </w:r>
    <w:r w:rsidR="002E6DDF">
      <w:t>7</w:t>
    </w:r>
    <w:r w:rsidR="00B11310">
      <w:t xml:space="preserve"> </w:t>
    </w:r>
    <w:r w:rsidR="00747CE7">
      <w:t>Novem</w:t>
    </w:r>
    <w:r w:rsidR="002E6DDF">
      <w:t>ber</w:t>
    </w:r>
    <w:r w:rsidR="00B11310">
      <w:t xml:space="preserve"> </w:t>
    </w:r>
    <w:r>
      <w:t>202</w:t>
    </w:r>
    <w:r w:rsidR="002E6DDF">
      <w:t>5</w:t>
    </w:r>
  </w:p>
  <w:p w14:paraId="035D6328" w14:textId="0BE82AC8" w:rsidR="0025220B" w:rsidRDefault="0025220B">
    <w:pPr>
      <w:pStyle w:val="Footer"/>
    </w:pPr>
    <w:r>
      <w:t>Last reviewed:</w:t>
    </w:r>
    <w:r w:rsidR="00A71170">
      <w:t xml:space="preserve"> </w:t>
    </w:r>
    <w:r w:rsidR="00747CE7">
      <w:t>20</w:t>
    </w:r>
    <w:r w:rsidR="00747CE7" w:rsidRPr="00747CE7">
      <w:rPr>
        <w:vertAlign w:val="superscript"/>
      </w:rPr>
      <w:t>th</w:t>
    </w:r>
    <w:r w:rsidR="00747CE7">
      <w:t xml:space="preserve"> Novem</w:t>
    </w:r>
    <w:r w:rsidR="002E6DDF">
      <w:t>ber 2025</w:t>
    </w:r>
  </w:p>
  <w:p w14:paraId="3680038B" w14:textId="18143315" w:rsidR="0025220B" w:rsidRDefault="0025220B">
    <w:pPr>
      <w:pStyle w:val="Footer"/>
    </w:pPr>
    <w:r>
      <w:t>Next review date:</w:t>
    </w:r>
    <w:r w:rsidR="002E6DDF">
      <w:t xml:space="preserve"> </w:t>
    </w:r>
    <w:r w:rsidR="00A71170">
      <w:t>2</w:t>
    </w:r>
    <w:r w:rsidR="00747CE7">
      <w:t>0</w:t>
    </w:r>
    <w:r w:rsidR="00747CE7" w:rsidRPr="00747CE7">
      <w:rPr>
        <w:vertAlign w:val="superscript"/>
      </w:rPr>
      <w:t>th</w:t>
    </w:r>
    <w:r w:rsidR="00747CE7">
      <w:t xml:space="preserve"> November</w:t>
    </w:r>
    <w:r w:rsidR="002E6DDF">
      <w:t xml:space="preserv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5715" w14:textId="77777777" w:rsidR="00F41A1E" w:rsidRDefault="00F41A1E" w:rsidP="009C782F">
      <w:pPr>
        <w:spacing w:after="0" w:line="240" w:lineRule="auto"/>
      </w:pPr>
      <w:r>
        <w:separator/>
      </w:r>
    </w:p>
  </w:footnote>
  <w:footnote w:type="continuationSeparator" w:id="0">
    <w:p w14:paraId="790D4F3E" w14:textId="77777777" w:rsidR="00F41A1E" w:rsidRDefault="00F41A1E" w:rsidP="009C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D577" w14:textId="77777777" w:rsidR="00D73C48" w:rsidRDefault="00D73C48" w:rsidP="00D73C48">
    <w:pPr>
      <w:pStyle w:val="Header"/>
      <w:jc w:val="right"/>
    </w:pPr>
    <w:r w:rsidRPr="008D1ADF">
      <w:rPr>
        <w:noProof/>
        <w:sz w:val="20"/>
        <w:lang w:eastAsia="en-GB"/>
      </w:rPr>
      <w:drawing>
        <wp:inline distT="0" distB="0" distL="0" distR="0" wp14:anchorId="30B7BCFE" wp14:editId="13DA3C42">
          <wp:extent cx="1181100" cy="490925"/>
          <wp:effectExtent l="0" t="0" r="0" b="4445"/>
          <wp:docPr id="138414866" name="Picture 138414866" descr="BIA logo -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A logo - full"/>
                  <pic:cNvPicPr>
                    <a:picLocks noChangeAspect="1" noChangeArrowheads="1"/>
                  </pic:cNvPicPr>
                </pic:nvPicPr>
                <pic:blipFill>
                  <a:blip r:embed="rId1" cstate="print">
                    <a:extLst>
                      <a:ext uri="{28A0092B-C50C-407E-A947-70E740481C1C}">
                        <a14:useLocalDpi xmlns:a14="http://schemas.microsoft.com/office/drawing/2010/main" val="0"/>
                      </a:ext>
                    </a:extLst>
                  </a:blip>
                  <a:srcRect t="21519" b="22151"/>
                  <a:stretch>
                    <a:fillRect/>
                  </a:stretch>
                </pic:blipFill>
                <pic:spPr bwMode="auto">
                  <a:xfrm>
                    <a:off x="0" y="0"/>
                    <a:ext cx="1199917" cy="498746"/>
                  </a:xfrm>
                  <a:prstGeom prst="rect">
                    <a:avLst/>
                  </a:prstGeom>
                  <a:noFill/>
                  <a:ln>
                    <a:noFill/>
                  </a:ln>
                </pic:spPr>
              </pic:pic>
            </a:graphicData>
          </a:graphic>
        </wp:inline>
      </w:drawing>
    </w:r>
  </w:p>
  <w:p w14:paraId="0F56F27A" w14:textId="77777777" w:rsidR="009C782F" w:rsidRDefault="009C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4C"/>
    <w:multiLevelType w:val="hybridMultilevel"/>
    <w:tmpl w:val="BD88B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E0E88"/>
    <w:multiLevelType w:val="multilevel"/>
    <w:tmpl w:val="72467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F24E74"/>
    <w:multiLevelType w:val="hybridMultilevel"/>
    <w:tmpl w:val="BD88B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165622"/>
    <w:multiLevelType w:val="hybridMultilevel"/>
    <w:tmpl w:val="6FA6B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59055D"/>
    <w:multiLevelType w:val="multilevel"/>
    <w:tmpl w:val="FBAEE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345CA1"/>
    <w:multiLevelType w:val="hybridMultilevel"/>
    <w:tmpl w:val="B778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12D7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1533949">
    <w:abstractNumId w:val="0"/>
  </w:num>
  <w:num w:numId="2" w16cid:durableId="1830174122">
    <w:abstractNumId w:val="6"/>
  </w:num>
  <w:num w:numId="3" w16cid:durableId="1335455963">
    <w:abstractNumId w:val="5"/>
  </w:num>
  <w:num w:numId="4" w16cid:durableId="751313142">
    <w:abstractNumId w:val="4"/>
  </w:num>
  <w:num w:numId="5" w16cid:durableId="1553271873">
    <w:abstractNumId w:val="1"/>
  </w:num>
  <w:num w:numId="6" w16cid:durableId="457644921">
    <w:abstractNumId w:val="3"/>
  </w:num>
  <w:num w:numId="7" w16cid:durableId="2080860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49"/>
    <w:rsid w:val="00014003"/>
    <w:rsid w:val="0002603C"/>
    <w:rsid w:val="000367D1"/>
    <w:rsid w:val="00040F10"/>
    <w:rsid w:val="00041CD4"/>
    <w:rsid w:val="00042CA8"/>
    <w:rsid w:val="00042FC2"/>
    <w:rsid w:val="00053145"/>
    <w:rsid w:val="00055D4C"/>
    <w:rsid w:val="0005661C"/>
    <w:rsid w:val="00061AF2"/>
    <w:rsid w:val="000703B8"/>
    <w:rsid w:val="00073C4D"/>
    <w:rsid w:val="00092336"/>
    <w:rsid w:val="000943A7"/>
    <w:rsid w:val="00095C79"/>
    <w:rsid w:val="000963C2"/>
    <w:rsid w:val="0009740D"/>
    <w:rsid w:val="000A16C0"/>
    <w:rsid w:val="000A331B"/>
    <w:rsid w:val="000B342A"/>
    <w:rsid w:val="000D1539"/>
    <w:rsid w:val="000D591C"/>
    <w:rsid w:val="000F4212"/>
    <w:rsid w:val="000F4839"/>
    <w:rsid w:val="001034AD"/>
    <w:rsid w:val="001134FB"/>
    <w:rsid w:val="0012153F"/>
    <w:rsid w:val="00124B4C"/>
    <w:rsid w:val="00136E1A"/>
    <w:rsid w:val="0015243B"/>
    <w:rsid w:val="00154CC7"/>
    <w:rsid w:val="001770AB"/>
    <w:rsid w:val="001A44C2"/>
    <w:rsid w:val="001B0499"/>
    <w:rsid w:val="001B1F31"/>
    <w:rsid w:val="001B36F9"/>
    <w:rsid w:val="001B4285"/>
    <w:rsid w:val="001B5506"/>
    <w:rsid w:val="001C5974"/>
    <w:rsid w:val="001C5A04"/>
    <w:rsid w:val="001C7A41"/>
    <w:rsid w:val="001F4449"/>
    <w:rsid w:val="001F5AF4"/>
    <w:rsid w:val="0020539B"/>
    <w:rsid w:val="002153A0"/>
    <w:rsid w:val="00215C4F"/>
    <w:rsid w:val="00216CEB"/>
    <w:rsid w:val="00217FF1"/>
    <w:rsid w:val="00231EED"/>
    <w:rsid w:val="00247666"/>
    <w:rsid w:val="002505BE"/>
    <w:rsid w:val="002512BD"/>
    <w:rsid w:val="0025220B"/>
    <w:rsid w:val="00275F50"/>
    <w:rsid w:val="00284175"/>
    <w:rsid w:val="002913D9"/>
    <w:rsid w:val="002A2827"/>
    <w:rsid w:val="002A6142"/>
    <w:rsid w:val="002B1D4C"/>
    <w:rsid w:val="002B4FBA"/>
    <w:rsid w:val="002C53F7"/>
    <w:rsid w:val="002D72EC"/>
    <w:rsid w:val="002E26D9"/>
    <w:rsid w:val="002E6DDF"/>
    <w:rsid w:val="003320A6"/>
    <w:rsid w:val="00353DFA"/>
    <w:rsid w:val="003563EA"/>
    <w:rsid w:val="003763C9"/>
    <w:rsid w:val="0037762F"/>
    <w:rsid w:val="00385A19"/>
    <w:rsid w:val="00386DCD"/>
    <w:rsid w:val="003A1A8D"/>
    <w:rsid w:val="003A40C3"/>
    <w:rsid w:val="003B0EC5"/>
    <w:rsid w:val="003B4D04"/>
    <w:rsid w:val="003E0958"/>
    <w:rsid w:val="003E0FFF"/>
    <w:rsid w:val="003E7E1F"/>
    <w:rsid w:val="003F259A"/>
    <w:rsid w:val="0040672A"/>
    <w:rsid w:val="00410232"/>
    <w:rsid w:val="0041737F"/>
    <w:rsid w:val="00420F06"/>
    <w:rsid w:val="0043347B"/>
    <w:rsid w:val="0043521B"/>
    <w:rsid w:val="00447430"/>
    <w:rsid w:val="00453CEC"/>
    <w:rsid w:val="00457E49"/>
    <w:rsid w:val="00464574"/>
    <w:rsid w:val="00480349"/>
    <w:rsid w:val="00485C43"/>
    <w:rsid w:val="00490A12"/>
    <w:rsid w:val="004933F7"/>
    <w:rsid w:val="00493610"/>
    <w:rsid w:val="004953AA"/>
    <w:rsid w:val="004F1532"/>
    <w:rsid w:val="005272E8"/>
    <w:rsid w:val="00544E44"/>
    <w:rsid w:val="00550278"/>
    <w:rsid w:val="00560C22"/>
    <w:rsid w:val="005611C2"/>
    <w:rsid w:val="005858B6"/>
    <w:rsid w:val="005A386D"/>
    <w:rsid w:val="005B1B78"/>
    <w:rsid w:val="005B46A9"/>
    <w:rsid w:val="005D00DE"/>
    <w:rsid w:val="005D4A44"/>
    <w:rsid w:val="005E01EA"/>
    <w:rsid w:val="005F35F2"/>
    <w:rsid w:val="0060777A"/>
    <w:rsid w:val="006101E4"/>
    <w:rsid w:val="00612567"/>
    <w:rsid w:val="006128BF"/>
    <w:rsid w:val="0062293C"/>
    <w:rsid w:val="0062310A"/>
    <w:rsid w:val="00624472"/>
    <w:rsid w:val="00627F1E"/>
    <w:rsid w:val="00636E58"/>
    <w:rsid w:val="00650FF2"/>
    <w:rsid w:val="00656852"/>
    <w:rsid w:val="006574B8"/>
    <w:rsid w:val="0066433E"/>
    <w:rsid w:val="00670A6D"/>
    <w:rsid w:val="00692808"/>
    <w:rsid w:val="00697E06"/>
    <w:rsid w:val="006A5909"/>
    <w:rsid w:val="006B611B"/>
    <w:rsid w:val="00726BD1"/>
    <w:rsid w:val="00733288"/>
    <w:rsid w:val="00747CE7"/>
    <w:rsid w:val="00754EF0"/>
    <w:rsid w:val="0075533E"/>
    <w:rsid w:val="007C05E1"/>
    <w:rsid w:val="007C18B4"/>
    <w:rsid w:val="007D60FF"/>
    <w:rsid w:val="007E641C"/>
    <w:rsid w:val="007F31EE"/>
    <w:rsid w:val="007F6A76"/>
    <w:rsid w:val="007F6BFF"/>
    <w:rsid w:val="008036F2"/>
    <w:rsid w:val="00807588"/>
    <w:rsid w:val="00826ECF"/>
    <w:rsid w:val="008469DC"/>
    <w:rsid w:val="008501C2"/>
    <w:rsid w:val="008550CA"/>
    <w:rsid w:val="00883CB5"/>
    <w:rsid w:val="008868C8"/>
    <w:rsid w:val="00895B5F"/>
    <w:rsid w:val="008979C1"/>
    <w:rsid w:val="008B212E"/>
    <w:rsid w:val="008B5CEC"/>
    <w:rsid w:val="008F579C"/>
    <w:rsid w:val="009014C6"/>
    <w:rsid w:val="0091334F"/>
    <w:rsid w:val="00920084"/>
    <w:rsid w:val="0092076F"/>
    <w:rsid w:val="009239CF"/>
    <w:rsid w:val="00931FE1"/>
    <w:rsid w:val="0093487D"/>
    <w:rsid w:val="00941E06"/>
    <w:rsid w:val="00943114"/>
    <w:rsid w:val="00966931"/>
    <w:rsid w:val="00971BDD"/>
    <w:rsid w:val="0097589F"/>
    <w:rsid w:val="00983295"/>
    <w:rsid w:val="009840EF"/>
    <w:rsid w:val="009843C4"/>
    <w:rsid w:val="00995735"/>
    <w:rsid w:val="00996221"/>
    <w:rsid w:val="009B029A"/>
    <w:rsid w:val="009B26A3"/>
    <w:rsid w:val="009C782F"/>
    <w:rsid w:val="009D5FD4"/>
    <w:rsid w:val="009E24A9"/>
    <w:rsid w:val="009F0268"/>
    <w:rsid w:val="009F2E2C"/>
    <w:rsid w:val="00A1134A"/>
    <w:rsid w:val="00A168D2"/>
    <w:rsid w:val="00A23CB0"/>
    <w:rsid w:val="00A30CB3"/>
    <w:rsid w:val="00A32A76"/>
    <w:rsid w:val="00A4438C"/>
    <w:rsid w:val="00A61179"/>
    <w:rsid w:val="00A62FAA"/>
    <w:rsid w:val="00A71170"/>
    <w:rsid w:val="00A84D67"/>
    <w:rsid w:val="00A85892"/>
    <w:rsid w:val="00A86FAB"/>
    <w:rsid w:val="00A94836"/>
    <w:rsid w:val="00AA5191"/>
    <w:rsid w:val="00AB68E6"/>
    <w:rsid w:val="00AC0042"/>
    <w:rsid w:val="00AD36AD"/>
    <w:rsid w:val="00AE3E6C"/>
    <w:rsid w:val="00AF2718"/>
    <w:rsid w:val="00B028D6"/>
    <w:rsid w:val="00B03006"/>
    <w:rsid w:val="00B10BC4"/>
    <w:rsid w:val="00B11310"/>
    <w:rsid w:val="00B16DCC"/>
    <w:rsid w:val="00B23F14"/>
    <w:rsid w:val="00B47358"/>
    <w:rsid w:val="00B505C2"/>
    <w:rsid w:val="00B651D4"/>
    <w:rsid w:val="00B85E58"/>
    <w:rsid w:val="00B970CA"/>
    <w:rsid w:val="00BD48CE"/>
    <w:rsid w:val="00BE2111"/>
    <w:rsid w:val="00BF057F"/>
    <w:rsid w:val="00BF556B"/>
    <w:rsid w:val="00C15480"/>
    <w:rsid w:val="00C2793E"/>
    <w:rsid w:val="00C4678D"/>
    <w:rsid w:val="00C73FF8"/>
    <w:rsid w:val="00C802C3"/>
    <w:rsid w:val="00C81347"/>
    <w:rsid w:val="00C814B8"/>
    <w:rsid w:val="00C86704"/>
    <w:rsid w:val="00CB0736"/>
    <w:rsid w:val="00CB6B2B"/>
    <w:rsid w:val="00CC17FE"/>
    <w:rsid w:val="00CC2057"/>
    <w:rsid w:val="00CC5F36"/>
    <w:rsid w:val="00CD6697"/>
    <w:rsid w:val="00CF342D"/>
    <w:rsid w:val="00CF3F27"/>
    <w:rsid w:val="00CF60B1"/>
    <w:rsid w:val="00CF7F2E"/>
    <w:rsid w:val="00D027CF"/>
    <w:rsid w:val="00D11556"/>
    <w:rsid w:val="00D21CEB"/>
    <w:rsid w:val="00D2556B"/>
    <w:rsid w:val="00D34F93"/>
    <w:rsid w:val="00D3512E"/>
    <w:rsid w:val="00D36D80"/>
    <w:rsid w:val="00D510FD"/>
    <w:rsid w:val="00D62049"/>
    <w:rsid w:val="00D656C5"/>
    <w:rsid w:val="00D673D9"/>
    <w:rsid w:val="00D73A89"/>
    <w:rsid w:val="00D73C48"/>
    <w:rsid w:val="00D73E37"/>
    <w:rsid w:val="00D74C62"/>
    <w:rsid w:val="00D846E1"/>
    <w:rsid w:val="00D94668"/>
    <w:rsid w:val="00DB1247"/>
    <w:rsid w:val="00DB34EE"/>
    <w:rsid w:val="00DC02E2"/>
    <w:rsid w:val="00DC0370"/>
    <w:rsid w:val="00DC0E18"/>
    <w:rsid w:val="00DC2243"/>
    <w:rsid w:val="00DC4BDD"/>
    <w:rsid w:val="00DF74DE"/>
    <w:rsid w:val="00E04579"/>
    <w:rsid w:val="00E071D7"/>
    <w:rsid w:val="00E07973"/>
    <w:rsid w:val="00E1054D"/>
    <w:rsid w:val="00E1473C"/>
    <w:rsid w:val="00E20BD1"/>
    <w:rsid w:val="00E301DE"/>
    <w:rsid w:val="00E40AE4"/>
    <w:rsid w:val="00E41A5C"/>
    <w:rsid w:val="00E44D44"/>
    <w:rsid w:val="00E56837"/>
    <w:rsid w:val="00E56F36"/>
    <w:rsid w:val="00E57425"/>
    <w:rsid w:val="00E6282A"/>
    <w:rsid w:val="00E8261C"/>
    <w:rsid w:val="00EB351C"/>
    <w:rsid w:val="00EB4388"/>
    <w:rsid w:val="00EB4A66"/>
    <w:rsid w:val="00EC5EA1"/>
    <w:rsid w:val="00EC6944"/>
    <w:rsid w:val="00ED1F13"/>
    <w:rsid w:val="00ED34E0"/>
    <w:rsid w:val="00EE2634"/>
    <w:rsid w:val="00EE3A47"/>
    <w:rsid w:val="00EE3C36"/>
    <w:rsid w:val="00F24972"/>
    <w:rsid w:val="00F3747D"/>
    <w:rsid w:val="00F41A1E"/>
    <w:rsid w:val="00F56031"/>
    <w:rsid w:val="00F71398"/>
    <w:rsid w:val="00F81B4C"/>
    <w:rsid w:val="00F87067"/>
    <w:rsid w:val="00F92616"/>
    <w:rsid w:val="00F93FF5"/>
    <w:rsid w:val="00F94704"/>
    <w:rsid w:val="00FA4D40"/>
    <w:rsid w:val="00FB2C95"/>
    <w:rsid w:val="00FC7307"/>
    <w:rsid w:val="00FD04FA"/>
    <w:rsid w:val="00FD391B"/>
    <w:rsid w:val="00FE0718"/>
    <w:rsid w:val="00FE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4D5DAD"/>
  <w15:docId w15:val="{13165869-B485-4337-A6E3-8BC9713D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58"/>
    <w:pPr>
      <w:ind w:left="720"/>
      <w:contextualSpacing/>
    </w:pPr>
  </w:style>
  <w:style w:type="paragraph" w:styleId="BalloonText">
    <w:name w:val="Balloon Text"/>
    <w:basedOn w:val="Normal"/>
    <w:link w:val="BalloonTextChar"/>
    <w:uiPriority w:val="99"/>
    <w:semiHidden/>
    <w:unhideWhenUsed/>
    <w:rsid w:val="00636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58"/>
    <w:rPr>
      <w:rFonts w:ascii="Segoe UI" w:hAnsi="Segoe UI" w:cs="Segoe UI"/>
      <w:sz w:val="18"/>
      <w:szCs w:val="18"/>
    </w:rPr>
  </w:style>
  <w:style w:type="character" w:customStyle="1" w:styleId="A5">
    <w:name w:val="A5"/>
    <w:uiPriority w:val="99"/>
    <w:rsid w:val="00284175"/>
    <w:rPr>
      <w:rFonts w:cs="HelveticaNeueLT Std"/>
      <w:color w:val="000000"/>
      <w:sz w:val="11"/>
      <w:szCs w:val="11"/>
    </w:rPr>
  </w:style>
  <w:style w:type="paragraph" w:customStyle="1" w:styleId="Default">
    <w:name w:val="Default"/>
    <w:rsid w:val="00284175"/>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1">
    <w:name w:val="Pa1"/>
    <w:basedOn w:val="Default"/>
    <w:next w:val="Default"/>
    <w:uiPriority w:val="99"/>
    <w:rsid w:val="00284175"/>
    <w:pPr>
      <w:spacing w:line="241" w:lineRule="atLeast"/>
    </w:pPr>
    <w:rPr>
      <w:rFonts w:cstheme="minorBidi"/>
      <w:color w:val="auto"/>
    </w:rPr>
  </w:style>
  <w:style w:type="character" w:customStyle="1" w:styleId="A2">
    <w:name w:val="A2"/>
    <w:uiPriority w:val="99"/>
    <w:rsid w:val="00284175"/>
    <w:rPr>
      <w:rFonts w:cs="HelveticaNeueLT Std Lt"/>
      <w:color w:val="000000"/>
      <w:sz w:val="140"/>
      <w:szCs w:val="140"/>
    </w:rPr>
  </w:style>
  <w:style w:type="character" w:styleId="CommentReference">
    <w:name w:val="annotation reference"/>
    <w:basedOn w:val="DefaultParagraphFont"/>
    <w:uiPriority w:val="99"/>
    <w:semiHidden/>
    <w:unhideWhenUsed/>
    <w:rsid w:val="00EE3A47"/>
    <w:rPr>
      <w:sz w:val="16"/>
      <w:szCs w:val="16"/>
    </w:rPr>
  </w:style>
  <w:style w:type="paragraph" w:styleId="CommentText">
    <w:name w:val="annotation text"/>
    <w:basedOn w:val="Normal"/>
    <w:link w:val="CommentTextChar"/>
    <w:uiPriority w:val="99"/>
    <w:unhideWhenUsed/>
    <w:rsid w:val="00EE3A47"/>
    <w:pPr>
      <w:spacing w:line="240" w:lineRule="auto"/>
    </w:pPr>
    <w:rPr>
      <w:sz w:val="20"/>
      <w:szCs w:val="20"/>
    </w:rPr>
  </w:style>
  <w:style w:type="character" w:customStyle="1" w:styleId="CommentTextChar">
    <w:name w:val="Comment Text Char"/>
    <w:basedOn w:val="DefaultParagraphFont"/>
    <w:link w:val="CommentText"/>
    <w:uiPriority w:val="99"/>
    <w:rsid w:val="00EE3A47"/>
    <w:rPr>
      <w:sz w:val="20"/>
      <w:szCs w:val="20"/>
    </w:rPr>
  </w:style>
  <w:style w:type="paragraph" w:styleId="CommentSubject">
    <w:name w:val="annotation subject"/>
    <w:basedOn w:val="CommentText"/>
    <w:next w:val="CommentText"/>
    <w:link w:val="CommentSubjectChar"/>
    <w:uiPriority w:val="99"/>
    <w:semiHidden/>
    <w:unhideWhenUsed/>
    <w:rsid w:val="00EE3A47"/>
    <w:rPr>
      <w:b/>
      <w:bCs/>
    </w:rPr>
  </w:style>
  <w:style w:type="character" w:customStyle="1" w:styleId="CommentSubjectChar">
    <w:name w:val="Comment Subject Char"/>
    <w:basedOn w:val="CommentTextChar"/>
    <w:link w:val="CommentSubject"/>
    <w:uiPriority w:val="99"/>
    <w:semiHidden/>
    <w:rsid w:val="00EE3A47"/>
    <w:rPr>
      <w:b/>
      <w:bCs/>
      <w:sz w:val="20"/>
      <w:szCs w:val="20"/>
    </w:rPr>
  </w:style>
  <w:style w:type="paragraph" w:styleId="Header">
    <w:name w:val="header"/>
    <w:basedOn w:val="Normal"/>
    <w:link w:val="HeaderChar"/>
    <w:uiPriority w:val="99"/>
    <w:unhideWhenUsed/>
    <w:rsid w:val="009C7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82F"/>
  </w:style>
  <w:style w:type="paragraph" w:styleId="Footer">
    <w:name w:val="footer"/>
    <w:basedOn w:val="Normal"/>
    <w:link w:val="FooterChar"/>
    <w:uiPriority w:val="99"/>
    <w:unhideWhenUsed/>
    <w:rsid w:val="009C7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82F"/>
  </w:style>
  <w:style w:type="character" w:styleId="Hyperlink">
    <w:name w:val="Hyperlink"/>
    <w:rsid w:val="00D2556B"/>
    <w:rPr>
      <w:color w:val="0000FF"/>
      <w:u w:val="single"/>
    </w:rPr>
  </w:style>
  <w:style w:type="paragraph" w:styleId="Revision">
    <w:name w:val="Revision"/>
    <w:hidden/>
    <w:uiPriority w:val="99"/>
    <w:semiHidden/>
    <w:rsid w:val="00F3747D"/>
    <w:pPr>
      <w:spacing w:after="0" w:line="240" w:lineRule="auto"/>
    </w:pPr>
  </w:style>
  <w:style w:type="character" w:styleId="UnresolvedMention">
    <w:name w:val="Unresolved Mention"/>
    <w:basedOn w:val="DefaultParagraphFont"/>
    <w:uiPriority w:val="99"/>
    <w:semiHidden/>
    <w:unhideWhenUsed/>
    <w:rsid w:val="00BF057F"/>
    <w:rPr>
      <w:color w:val="605E5C"/>
      <w:shd w:val="clear" w:color="auto" w:fill="E1DFDD"/>
    </w:rPr>
  </w:style>
  <w:style w:type="character" w:styleId="FollowedHyperlink">
    <w:name w:val="FollowedHyperlink"/>
    <w:basedOn w:val="DefaultParagraphFont"/>
    <w:uiPriority w:val="99"/>
    <w:semiHidden/>
    <w:unhideWhenUsed/>
    <w:rsid w:val="007D60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3607">
      <w:bodyDiv w:val="1"/>
      <w:marLeft w:val="0"/>
      <w:marRight w:val="0"/>
      <w:marTop w:val="0"/>
      <w:marBottom w:val="0"/>
      <w:divBdr>
        <w:top w:val="none" w:sz="0" w:space="0" w:color="auto"/>
        <w:left w:val="none" w:sz="0" w:space="0" w:color="auto"/>
        <w:bottom w:val="none" w:sz="0" w:space="0" w:color="auto"/>
        <w:right w:val="none" w:sz="0" w:space="0" w:color="auto"/>
      </w:divBdr>
    </w:div>
    <w:div w:id="1136608900">
      <w:bodyDiv w:val="1"/>
      <w:marLeft w:val="0"/>
      <w:marRight w:val="0"/>
      <w:marTop w:val="0"/>
      <w:marBottom w:val="0"/>
      <w:divBdr>
        <w:top w:val="none" w:sz="0" w:space="0" w:color="auto"/>
        <w:left w:val="none" w:sz="0" w:space="0" w:color="auto"/>
        <w:bottom w:val="none" w:sz="0" w:space="0" w:color="auto"/>
        <w:right w:val="none" w:sz="0" w:space="0" w:color="auto"/>
      </w:divBdr>
    </w:div>
    <w:div w:id="209311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omrc.org.uk/wp-content/uploads/2017/06/Return_to_Practice_guidance_2017_Revison_061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mc-uk.org/-/media/documents/RT___Supporting_information_for_appraisal_and_revalidation___DC5485.pdf_5502459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britishinfection.org" TargetMode="External"/><Relationship Id="rId2" Type="http://schemas.openxmlformats.org/officeDocument/2006/relationships/hyperlink" Target="http://www.britishinfection.org" TargetMode="External"/><Relationship Id="rId1" Type="http://schemas.openxmlformats.org/officeDocument/2006/relationships/hyperlink" Target="mailto:admin@britishinfection.org" TargetMode="External"/><Relationship Id="rId4" Type="http://schemas.openxmlformats.org/officeDocument/2006/relationships/hyperlink" Target="http://www.britishinfec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68607E7C71C4EBEBAD341C4589D37" ma:contentTypeVersion="10" ma:contentTypeDescription="Create a new document." ma:contentTypeScope="" ma:versionID="6a2f4ab1d6c7ab99810c624f195ab1b2">
  <xsd:schema xmlns:xsd="http://www.w3.org/2001/XMLSchema" xmlns:xs="http://www.w3.org/2001/XMLSchema" xmlns:p="http://schemas.microsoft.com/office/2006/metadata/properties" xmlns:ns3="c4e37fcd-9d8c-42a3-b988-e136ce42e479" xmlns:ns4="863c69b6-74a0-4749-852c-b51d856f36a0" targetNamespace="http://schemas.microsoft.com/office/2006/metadata/properties" ma:root="true" ma:fieldsID="0c9bffee4d59f588f542aadbf8a00e31" ns3:_="" ns4:_="">
    <xsd:import namespace="c4e37fcd-9d8c-42a3-b988-e136ce42e479"/>
    <xsd:import namespace="863c69b6-74a0-4749-852c-b51d856f36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37fcd-9d8c-42a3-b988-e136ce42e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c69b6-74a0-4749-852c-b51d856f36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3c69b6-74a0-4749-852c-b51d856f3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8A9D3-1E9E-4AC8-9AB2-9F4521E45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37fcd-9d8c-42a3-b988-e136ce42e479"/>
    <ds:schemaRef ds:uri="863c69b6-74a0-4749-852c-b51d856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21092-4089-404E-8E96-6916CA65E4E0}">
  <ds:schemaRefs>
    <ds:schemaRef ds:uri="http://purl.org/dc/dcmitype/"/>
    <ds:schemaRef ds:uri="http://purl.org/dc/elements/1.1/"/>
    <ds:schemaRef ds:uri="c4e37fcd-9d8c-42a3-b988-e136ce42e479"/>
    <ds:schemaRef ds:uri="http://purl.org/dc/terms/"/>
    <ds:schemaRef ds:uri="http://schemas.openxmlformats.org/package/2006/metadata/core-properties"/>
    <ds:schemaRef ds:uri="863c69b6-74a0-4749-852c-b51d856f36a0"/>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7A742BA-CAAD-4EB8-A313-BADE17FE9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5820</Words>
  <Characters>34459</Characters>
  <Application>Microsoft Office Word</Application>
  <DocSecurity>0</DocSecurity>
  <Lines>626</Lines>
  <Paragraphs>196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Ratnaraja Natasha (RKB) Consultant Microbiologist</cp:lastModifiedBy>
  <cp:revision>2</cp:revision>
  <cp:lastPrinted>2017-12-21T11:05:00Z</cp:lastPrinted>
  <dcterms:created xsi:type="dcterms:W3CDTF">2025-11-20T23:20:00Z</dcterms:created>
  <dcterms:modified xsi:type="dcterms:W3CDTF">2025-11-20T23:20:00Z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0x010100F6668607E7C71C4EBEBAD341C4589D37</vt:lpwstr>
  </property>
</Properties>
</file>